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F08F" w14:textId="77777777" w:rsidR="00DA2FB4" w:rsidRDefault="00DA2FB4"/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4814"/>
      </w:tblGrid>
      <w:tr w:rsidR="000250AB" w14:paraId="40E9C637" w14:textId="77777777" w:rsidTr="000250A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6BE753E" w14:textId="77777777" w:rsidR="000250AB" w:rsidRPr="000250AB" w:rsidRDefault="000250AB">
            <w:pPr>
              <w:rPr>
                <w:rFonts w:ascii="Times New Roman" w:hAnsi="Times New Roman" w:cs="Times New Roman"/>
              </w:rPr>
            </w:pPr>
            <w:r w:rsidRPr="000250AB">
              <w:rPr>
                <w:rFonts w:ascii="Times New Roman" w:hAnsi="Times New Roman" w:cs="Times New Roman"/>
              </w:rPr>
              <w:t xml:space="preserve">Додаток 1 </w:t>
            </w:r>
          </w:p>
          <w:p w14:paraId="23A49674" w14:textId="77777777" w:rsidR="000250AB" w:rsidRPr="000250AB" w:rsidRDefault="000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250AB">
              <w:rPr>
                <w:rFonts w:ascii="Times New Roman" w:hAnsi="Times New Roman" w:cs="Times New Roman"/>
              </w:rPr>
              <w:t xml:space="preserve">о протоколу щодо прийняття рішення </w:t>
            </w:r>
          </w:p>
          <w:p w14:paraId="7C2CAC31" w14:textId="77777777" w:rsidR="000250AB" w:rsidRPr="000250AB" w:rsidRDefault="000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250AB">
              <w:rPr>
                <w:rFonts w:ascii="Times New Roman" w:hAnsi="Times New Roman" w:cs="Times New Roman"/>
              </w:rPr>
              <w:t>повноваженою особою</w:t>
            </w:r>
          </w:p>
          <w:p w14:paraId="58D6BBA6" w14:textId="77777777" w:rsidR="000250AB" w:rsidRPr="000250AB" w:rsidRDefault="000250AB" w:rsidP="007A7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50AB">
              <w:rPr>
                <w:rFonts w:ascii="Times New Roman" w:hAnsi="Times New Roman" w:cs="Times New Roman"/>
              </w:rPr>
              <w:t xml:space="preserve">ід </w:t>
            </w:r>
            <w:r w:rsidR="006879E7">
              <w:rPr>
                <w:rFonts w:ascii="Times New Roman" w:hAnsi="Times New Roman" w:cs="Times New Roman"/>
              </w:rPr>
              <w:t>1</w:t>
            </w:r>
            <w:r w:rsidR="007A749A">
              <w:rPr>
                <w:rFonts w:ascii="Times New Roman" w:hAnsi="Times New Roman" w:cs="Times New Roman"/>
              </w:rPr>
              <w:t>4</w:t>
            </w:r>
            <w:r w:rsidRPr="000250AB">
              <w:rPr>
                <w:rFonts w:ascii="Times New Roman" w:hAnsi="Times New Roman" w:cs="Times New Roman"/>
              </w:rPr>
              <w:t>.</w:t>
            </w:r>
            <w:r w:rsidR="006879E7">
              <w:rPr>
                <w:rFonts w:ascii="Times New Roman" w:hAnsi="Times New Roman" w:cs="Times New Roman"/>
              </w:rPr>
              <w:t>11</w:t>
            </w:r>
            <w:r w:rsidRPr="000250AB">
              <w:rPr>
                <w:rFonts w:ascii="Times New Roman" w:hAnsi="Times New Roman" w:cs="Times New Roman"/>
              </w:rPr>
              <w:t xml:space="preserve">.2025 № </w:t>
            </w:r>
            <w:r w:rsidR="006879E7">
              <w:rPr>
                <w:rFonts w:ascii="Times New Roman" w:hAnsi="Times New Roman" w:cs="Times New Roman"/>
              </w:rPr>
              <w:t>18</w:t>
            </w:r>
          </w:p>
        </w:tc>
      </w:tr>
    </w:tbl>
    <w:p w14:paraId="5877420A" w14:textId="77777777" w:rsidR="003878E7" w:rsidRDefault="003878E7" w:rsidP="003878E7">
      <w:pPr>
        <w:jc w:val="center"/>
      </w:pPr>
    </w:p>
    <w:p w14:paraId="63660FEF" w14:textId="77777777" w:rsidR="00B94CA4" w:rsidRDefault="00B94CA4" w:rsidP="000250AB">
      <w:pPr>
        <w:jc w:val="center"/>
      </w:pPr>
    </w:p>
    <w:p w14:paraId="4C0AFFFF" w14:textId="77777777" w:rsidR="000250AB" w:rsidRPr="000250AB" w:rsidRDefault="00B00E4B" w:rsidP="000250AB">
      <w:pPr>
        <w:jc w:val="center"/>
        <w:rPr>
          <w:rFonts w:ascii="Times New Roman" w:hAnsi="Times New Roman" w:cs="Times New Roman"/>
        </w:rPr>
      </w:pPr>
      <w:r w:rsidRPr="000250AB">
        <w:rPr>
          <w:rFonts w:ascii="Times New Roman" w:hAnsi="Times New Roman" w:cs="Times New Roman"/>
        </w:rPr>
        <w:t>Обґрунтування</w:t>
      </w:r>
      <w:r w:rsidR="000250AB" w:rsidRPr="000250AB">
        <w:rPr>
          <w:rFonts w:ascii="Times New Roman" w:hAnsi="Times New Roman" w:cs="Times New Roman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D0BB413" w14:textId="77777777" w:rsidR="000250AB" w:rsidRDefault="000250AB" w:rsidP="000250AB">
      <w:pPr>
        <w:jc w:val="center"/>
        <w:rPr>
          <w:rFonts w:ascii="Times New Roman" w:hAnsi="Times New Roman" w:cs="Times New Roman"/>
          <w:sz w:val="20"/>
          <w:szCs w:val="20"/>
        </w:rPr>
      </w:pPr>
      <w:r w:rsidRPr="000250AB">
        <w:rPr>
          <w:rFonts w:ascii="Times New Roman" w:hAnsi="Times New Roman" w:cs="Times New Roman"/>
          <w:sz w:val="20"/>
          <w:szCs w:val="20"/>
        </w:rPr>
        <w:t>(відповідно до</w:t>
      </w:r>
      <w:r w:rsidR="00800EFF">
        <w:rPr>
          <w:rFonts w:ascii="Times New Roman" w:hAnsi="Times New Roman" w:cs="Times New Roman"/>
          <w:sz w:val="20"/>
          <w:szCs w:val="20"/>
        </w:rPr>
        <w:t xml:space="preserve"> </w:t>
      </w:r>
      <w:r w:rsidRPr="000250AB">
        <w:rPr>
          <w:rFonts w:ascii="Times New Roman" w:hAnsi="Times New Roman" w:cs="Times New Roman"/>
          <w:sz w:val="20"/>
          <w:szCs w:val="20"/>
        </w:rPr>
        <w:t>пункту</w:t>
      </w:r>
      <w:r w:rsidR="00B95027">
        <w:rPr>
          <w:rFonts w:ascii="Times New Roman" w:hAnsi="Times New Roman" w:cs="Times New Roman"/>
          <w:sz w:val="20"/>
          <w:szCs w:val="20"/>
        </w:rPr>
        <w:t xml:space="preserve"> </w:t>
      </w:r>
      <w:r w:rsidRPr="000250AB">
        <w:rPr>
          <w:rFonts w:ascii="Times New Roman" w:hAnsi="Times New Roman" w:cs="Times New Roman"/>
          <w:sz w:val="20"/>
          <w:szCs w:val="20"/>
        </w:rPr>
        <w:t>4</w:t>
      </w:r>
      <w:r w:rsidR="00800EF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250AB">
        <w:rPr>
          <w:rFonts w:ascii="Times New Roman" w:hAnsi="Times New Roman" w:cs="Times New Roman"/>
          <w:sz w:val="20"/>
          <w:szCs w:val="20"/>
        </w:rPr>
        <w:t xml:space="preserve"> постанови Кабінету Міністрів України від 11.10.2016 №</w:t>
      </w:r>
      <w:r w:rsidR="00AC0B5A">
        <w:rPr>
          <w:rFonts w:ascii="Times New Roman" w:hAnsi="Times New Roman" w:cs="Times New Roman"/>
          <w:sz w:val="20"/>
          <w:szCs w:val="20"/>
        </w:rPr>
        <w:t xml:space="preserve"> </w:t>
      </w:r>
      <w:r w:rsidRPr="000250AB">
        <w:rPr>
          <w:rFonts w:ascii="Times New Roman" w:hAnsi="Times New Roman" w:cs="Times New Roman"/>
          <w:sz w:val="20"/>
          <w:szCs w:val="20"/>
        </w:rPr>
        <w:t>710</w:t>
      </w:r>
      <w:r w:rsidR="00B95027">
        <w:rPr>
          <w:rFonts w:ascii="Times New Roman" w:hAnsi="Times New Roman" w:cs="Times New Roman"/>
          <w:sz w:val="20"/>
          <w:szCs w:val="20"/>
        </w:rPr>
        <w:t xml:space="preserve"> </w:t>
      </w:r>
      <w:r w:rsidR="00AC0B5A">
        <w:rPr>
          <w:rFonts w:ascii="Times New Roman" w:hAnsi="Times New Roman" w:cs="Times New Roman"/>
          <w:sz w:val="20"/>
          <w:szCs w:val="20"/>
        </w:rPr>
        <w:t>«</w:t>
      </w:r>
      <w:r w:rsidRPr="000250AB">
        <w:rPr>
          <w:rFonts w:ascii="Times New Roman" w:hAnsi="Times New Roman" w:cs="Times New Roman"/>
          <w:sz w:val="20"/>
          <w:szCs w:val="20"/>
        </w:rPr>
        <w:t>Про ефективне використання державних коштів</w:t>
      </w:r>
      <w:r w:rsidR="00AC0B5A">
        <w:rPr>
          <w:rFonts w:ascii="Times New Roman" w:hAnsi="Times New Roman" w:cs="Times New Roman"/>
          <w:sz w:val="20"/>
          <w:szCs w:val="20"/>
        </w:rPr>
        <w:t>»</w:t>
      </w:r>
    </w:p>
    <w:p w14:paraId="25081FF6" w14:textId="77777777" w:rsidR="00665545" w:rsidRPr="000250AB" w:rsidRDefault="006879E7" w:rsidP="000250AB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4" w:tgtFrame="_blank" w:tooltip="Оголошення на порталі Уповноваженого органу" w:history="1">
        <w:r>
          <w:rPr>
            <w:rFonts w:ascii="Times New Roman" w:eastAsia="Times New Roman" w:hAnsi="Times New Roman" w:cs="Times New Roman"/>
            <w:sz w:val="20"/>
            <w:szCs w:val="20"/>
          </w:rPr>
          <w:t>UA-2025-11</w:t>
        </w:r>
        <w:r w:rsidR="00665545" w:rsidRPr="00B10B28">
          <w:rPr>
            <w:rFonts w:ascii="Times New Roman" w:eastAsia="Times New Roman" w:hAnsi="Times New Roman" w:cs="Times New Roman"/>
            <w:sz w:val="20"/>
            <w:szCs w:val="20"/>
          </w:rPr>
          <w:t>-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14</w:t>
        </w:r>
        <w:r w:rsidR="00665545" w:rsidRPr="00B10B28">
          <w:rPr>
            <w:rFonts w:ascii="Times New Roman" w:eastAsia="Times New Roman" w:hAnsi="Times New Roman" w:cs="Times New Roman"/>
            <w:sz w:val="20"/>
            <w:szCs w:val="20"/>
          </w:rPr>
          <w:t>-00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9702</w:t>
        </w:r>
        <w:r w:rsidR="00665545" w:rsidRPr="00B10B28">
          <w:rPr>
            <w:rFonts w:ascii="Times New Roman" w:eastAsia="Times New Roman" w:hAnsi="Times New Roman" w:cs="Times New Roman"/>
            <w:sz w:val="20"/>
            <w:szCs w:val="20"/>
          </w:rPr>
          <w:t>-a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7224"/>
      </w:tblGrid>
      <w:tr w:rsidR="000250AB" w14:paraId="12D2B066" w14:textId="77777777" w:rsidTr="000250AB">
        <w:tc>
          <w:tcPr>
            <w:tcW w:w="421" w:type="dxa"/>
          </w:tcPr>
          <w:p w14:paraId="43BED8CA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B8F8E9C" w14:textId="77777777" w:rsidR="000250AB" w:rsidRPr="007E7DEE" w:rsidRDefault="000250AB">
            <w:pPr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7224" w:type="dxa"/>
          </w:tcPr>
          <w:p w14:paraId="1D5EA641" w14:textId="77777777" w:rsidR="000250AB" w:rsidRPr="00EF6E1B" w:rsidRDefault="006879E7" w:rsidP="000250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r w:rsidRPr="00180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Реконструкція (модернізація) територіальної автоматизованої системи централізованого оповіщення населення Київської області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» </w:t>
            </w:r>
            <w:r w:rsidR="000250AB"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згідно коду національного класифікатора України  ДК 021:2015 «Єдиний закупівельний словник» -   45310000-3 Електромонтажні роботи</w:t>
            </w:r>
          </w:p>
          <w:p w14:paraId="531CCC33" w14:textId="77777777" w:rsidR="000250AB" w:rsidRDefault="000250AB"/>
        </w:tc>
      </w:tr>
      <w:tr w:rsidR="000250AB" w14:paraId="0D396CD0" w14:textId="77777777" w:rsidTr="000250AB">
        <w:tc>
          <w:tcPr>
            <w:tcW w:w="421" w:type="dxa"/>
          </w:tcPr>
          <w:p w14:paraId="37C5F3CD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026C289" w14:textId="77777777" w:rsidR="000250AB" w:rsidRDefault="000250AB">
            <w:r w:rsidRPr="007E7DEE">
              <w:rPr>
                <w:rFonts w:ascii="Times New Roman" w:hAnsi="Times New Roman" w:cs="Times New Roman"/>
              </w:rPr>
              <w:t>Технічні та якісні характеристики предмета закупівлі</w:t>
            </w:r>
          </w:p>
        </w:tc>
        <w:tc>
          <w:tcPr>
            <w:tcW w:w="7224" w:type="dxa"/>
          </w:tcPr>
          <w:p w14:paraId="2A01CB0D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(модернізація) ТАСЦО передбачає проведення таких робіт:</w:t>
            </w:r>
          </w:p>
          <w:p w14:paraId="21D77DED" w14:textId="77777777" w:rsidR="00292CB3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•⁠  ⁠встановлення </w:t>
            </w:r>
            <w:r w:rsidR="00B00E4B"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проектованих</w:t>
            </w: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телекомунікаційних шаф;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06BC85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⁠встановлення мережевого та комп’ютерного обладнання;</w:t>
            </w:r>
          </w:p>
          <w:p w14:paraId="147B28D7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⁠встановлення обладнання радіозв’язку;</w:t>
            </w:r>
          </w:p>
          <w:p w14:paraId="53DA7082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•⁠  ⁠монтаж антен </w:t>
            </w: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всенаправлених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щілинних гучномовців;</w:t>
            </w:r>
          </w:p>
          <w:p w14:paraId="7E1B121A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⁠прокладання проводів та кабелів до обладнання;</w:t>
            </w:r>
          </w:p>
          <w:p w14:paraId="6F925858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•⁠  ⁠заземлення </w:t>
            </w: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проєктованого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обладнання;</w:t>
            </w:r>
          </w:p>
          <w:p w14:paraId="5C540D32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⁠у разі виходу з ладу основного комплекту технічних засобів, перемикання на запасний комплект і зворотне перемикання після відновлення здійснюватиметься в автоматичному режимі;</w:t>
            </w:r>
          </w:p>
          <w:p w14:paraId="1F8B204A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⁠застосування технічних та програмних засобів оповіщення, які створені з використанням сучасних технологій;</w:t>
            </w:r>
          </w:p>
          <w:p w14:paraId="37628AA7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•⁠  ⁠для передачі даних передусім використовуватиметься ресурс транспортної платформи Національної телекомунікаційної мережі (ТП НТМ) із захищеними каналами передачі даних. В якості резервних ліній зв’язку – глобальна комп’ютерна мережа WAN на базі оптоволоконних технологій та існуючої мережі цифрового радіозв’язку стандарту DMR.</w:t>
            </w:r>
          </w:p>
          <w:p w14:paraId="5A6E055A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ТАСЦО забезпечить:</w:t>
            </w:r>
          </w:p>
          <w:p w14:paraId="49D041FC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цифровізацію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процесів оповіщення місцевих органів виконавчої влади, органів місцевого самоврядування, а також населення;</w:t>
            </w:r>
          </w:p>
          <w:p w14:paraId="558036CA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диференційоване доведення сигналів про загрозу виникнення або виникнення надзвичайних ситуацій регіонального рівня та інформації з питань цивільного захисту;</w:t>
            </w:r>
          </w:p>
          <w:p w14:paraId="32C2BFD8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оновлення морально застарілих технологій обробки і передачі інформації в обласній ТАСЦО;</w:t>
            </w:r>
          </w:p>
          <w:p w14:paraId="7446A0D9" w14:textId="77777777" w:rsidR="00292CB3" w:rsidRPr="00EF6E1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кібербезпеку</w:t>
            </w:r>
            <w:proofErr w:type="spellEnd"/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, відсутність впливу та можливостей втручання в роботу ТАСЦО;</w:t>
            </w:r>
          </w:p>
          <w:p w14:paraId="5495ADCD" w14:textId="77777777" w:rsidR="000250AB" w:rsidRPr="00292CB3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безперебійну роботу системи оповіщення в умовах відсутності електропостачання за рахунок трьох незалежних каналів зв’язку для передачі сигналу: через провідний канал TCP/IP, супутниковий канал зв’язку та безпровідний канал зв’язку за допомогою мобільних 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ераторів зв’язку</w:t>
            </w:r>
          </w:p>
        </w:tc>
      </w:tr>
      <w:tr w:rsidR="000250AB" w14:paraId="1CF6B217" w14:textId="77777777" w:rsidTr="003878E7">
        <w:trPr>
          <w:trHeight w:val="699"/>
        </w:trPr>
        <w:tc>
          <w:tcPr>
            <w:tcW w:w="421" w:type="dxa"/>
          </w:tcPr>
          <w:p w14:paraId="6F102B25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5A542480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Розмір бюджетного призначення</w:t>
            </w:r>
          </w:p>
        </w:tc>
        <w:tc>
          <w:tcPr>
            <w:tcW w:w="7224" w:type="dxa"/>
          </w:tcPr>
          <w:p w14:paraId="6909184A" w14:textId="77777777" w:rsidR="000250AB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Рішенням Київської обласної ради від 29.05.2025 №1309-32-VIII внесено зміни до Обласної комплексної програми забезпечення безпеки населення і території Київської області від надзвичайних ситуацій на 2024-2027 роки яким надано додаткове фінансування заходу «1.2. Здійснення заходів щодо закупки обладнання, монтажу і введення в експлуатацію територіальної та місцевої автоматизованої системи централізованого оповіщення в Київській області» встановивши суму 143 153,497 тис. грн. </w:t>
            </w:r>
          </w:p>
          <w:p w14:paraId="1CF5CE43" w14:textId="77777777" w:rsidR="00292CB3" w:rsidRDefault="00292CB3" w:rsidP="00292C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31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tabs>
                <w:tab w:val="left" w:pos="426"/>
                <w:tab w:val="left" w:pos="567"/>
                <w:tab w:val="left" w:pos="850"/>
              </w:tabs>
              <w:ind w:right="-1" w:firstLine="567"/>
              <w:jc w:val="both"/>
            </w:pPr>
          </w:p>
        </w:tc>
      </w:tr>
      <w:tr w:rsidR="000250AB" w14:paraId="33A68D1F" w14:textId="77777777" w:rsidTr="000250AB">
        <w:tc>
          <w:tcPr>
            <w:tcW w:w="421" w:type="dxa"/>
          </w:tcPr>
          <w:p w14:paraId="3F1AD65A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4" w:type="dxa"/>
          </w:tcPr>
          <w:p w14:paraId="039E04CE" w14:textId="77777777" w:rsidR="000250AB" w:rsidRDefault="000250AB">
            <w:r w:rsidRPr="007E7DEE">
              <w:rPr>
                <w:rFonts w:ascii="Times New Roman" w:hAnsi="Times New Roman" w:cs="Times New Roman"/>
              </w:rPr>
              <w:t>Очікувана вартість предмета закупівлі</w:t>
            </w:r>
          </w:p>
        </w:tc>
        <w:tc>
          <w:tcPr>
            <w:tcW w:w="7224" w:type="dxa"/>
          </w:tcPr>
          <w:p w14:paraId="602AF899" w14:textId="77777777" w:rsidR="00292CB3" w:rsidRDefault="00292CB3" w:rsidP="00292C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очікуваної вартості предмета закупівлі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</w:t>
            </w:r>
            <w:r w:rsidR="00B950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сільського господарства від 18.02.2020 №275. </w:t>
            </w:r>
          </w:p>
          <w:p w14:paraId="6B8FF466" w14:textId="77777777" w:rsidR="00292CB3" w:rsidRDefault="00292CB3" w:rsidP="00C65D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Збір та аналіз здійснено на підставі 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-кошторисної документації на </w:t>
            </w:r>
            <w:r w:rsidR="006879E7"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r w:rsidR="006879E7" w:rsidRPr="00180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Реконструкція (модернізація) територіальної автоматизованої системи централізованого оповіщення населення Київської області</w:t>
            </w:r>
            <w:r w:rsidR="006879E7"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, трьох комерційних пропозицій.</w:t>
            </w:r>
          </w:p>
          <w:p w14:paraId="0C9FDFB3" w14:textId="77777777" w:rsidR="000250AB" w:rsidRDefault="00292CB3" w:rsidP="00C65D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Експертна вартість проведення робіт з реконструкції (модернізації) ТАСЦО населення Київської області складає 140 153 497,00 грн.</w:t>
            </w:r>
          </w:p>
          <w:p w14:paraId="6C558634" w14:textId="77777777" w:rsidR="00292CB3" w:rsidRDefault="00292CB3" w:rsidP="00C65D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Очікувана вартість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ґрунтується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всіх складових ціни та включає в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себе вартість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ціни  на роботи, податки </w:t>
            </w:r>
            <w:r w:rsidR="001B26A8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збори</w:t>
            </w:r>
            <w:r w:rsidR="00E71F8A">
              <w:rPr>
                <w:rFonts w:ascii="Times New Roman" w:eastAsia="Times New Roman" w:hAnsi="Times New Roman" w:cs="Times New Roman"/>
                <w:sz w:val="20"/>
                <w:szCs w:val="20"/>
              </w:rPr>
              <w:t>, що сплачуються, усіх інших витрат та згідно з вимогами чинного законодавства щодо формування ціни на відповідні роботи.</w:t>
            </w:r>
          </w:p>
          <w:p w14:paraId="280A713A" w14:textId="77777777" w:rsidR="00292CB3" w:rsidRDefault="00B95027" w:rsidP="00B95027"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Очікувана вартість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становить -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133 586 936,00 грн. (сто тридцять три мільйони п’ятсот вісімдесят шість тисяч дев’ятсот тридцять шість гривень 00 копійок) з ПДВ</w:t>
            </w:r>
          </w:p>
        </w:tc>
      </w:tr>
      <w:tr w:rsidR="000250AB" w14:paraId="4CBCA312" w14:textId="77777777" w:rsidTr="000250AB">
        <w:tc>
          <w:tcPr>
            <w:tcW w:w="421" w:type="dxa"/>
          </w:tcPr>
          <w:p w14:paraId="1780A9F1" w14:textId="77777777" w:rsidR="000250AB" w:rsidRPr="00B95027" w:rsidRDefault="000250AB">
            <w:pPr>
              <w:rPr>
                <w:rFonts w:ascii="Times New Roman" w:hAnsi="Times New Roman" w:cs="Times New Roman"/>
              </w:rPr>
            </w:pPr>
            <w:r w:rsidRPr="00B950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3E04478F" w14:textId="77777777" w:rsidR="000250AB" w:rsidRDefault="000250AB">
            <w:r w:rsidRPr="007E7DEE">
              <w:rPr>
                <w:rFonts w:ascii="Times New Roman" w:hAnsi="Times New Roman" w:cs="Times New Roman"/>
              </w:rPr>
              <w:t>Опис предмета закупівлі</w:t>
            </w:r>
          </w:p>
        </w:tc>
        <w:tc>
          <w:tcPr>
            <w:tcW w:w="7224" w:type="dxa"/>
          </w:tcPr>
          <w:p w14:paraId="453A1DF4" w14:textId="77777777" w:rsidR="00680647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Мета робіт:</w:t>
            </w: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B2932" w:rsidRPr="001805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Реконструкція (модернізація) </w:t>
            </w:r>
            <w:r w:rsidRPr="00EF6E1B">
              <w:rPr>
                <w:rFonts w:ascii="Times New Roman" w:eastAsia="Times New Roman" w:hAnsi="Times New Roman" w:cs="Times New Roman"/>
                <w:sz w:val="20"/>
                <w:szCs w:val="20"/>
              </w:rPr>
              <w:t>ТАСЦО та приведення її до міжнародних стандартів, виключення людського фактора при передачі сигналу від ЗАСЦО – ТАСЦО – МАСЦО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9BEDC9" w14:textId="77777777" w:rsidR="00680647" w:rsidRPr="00EF6E1B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Обсяг робіт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6879E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6879E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 (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одна</w:t>
            </w:r>
            <w:r w:rsidR="006879E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)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35FE112F" w14:textId="77777777" w:rsidR="00680647" w:rsidRPr="00EF6E1B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Період </w:t>
            </w:r>
            <w:r w:rsidR="006879E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виконання робіт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- 3</w:t>
            </w:r>
            <w:r w:rsidR="006879E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  <w:r w:rsidR="006879E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08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.202</w:t>
            </w:r>
            <w:r w:rsidR="006879E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6EE617C1" w14:textId="77777777" w:rsidR="00680647" w:rsidRPr="00EF6E1B" w:rsidRDefault="00680647" w:rsidP="0068064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Місце надання послуг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F6E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Київська область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0C2A4599" w14:textId="77777777" w:rsidR="000250AB" w:rsidRDefault="000250AB" w:rsidP="00680647"/>
        </w:tc>
      </w:tr>
    </w:tbl>
    <w:p w14:paraId="7BC8D4FC" w14:textId="77777777" w:rsidR="000250AB" w:rsidRDefault="000250AB"/>
    <w:sectPr w:rsidR="000250AB" w:rsidSect="00CE7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AB"/>
    <w:rsid w:val="000250AB"/>
    <w:rsid w:val="0008013F"/>
    <w:rsid w:val="001B26A8"/>
    <w:rsid w:val="00226329"/>
    <w:rsid w:val="00292CB3"/>
    <w:rsid w:val="002B647A"/>
    <w:rsid w:val="00316A4D"/>
    <w:rsid w:val="003878E7"/>
    <w:rsid w:val="0054404D"/>
    <w:rsid w:val="00665545"/>
    <w:rsid w:val="00680647"/>
    <w:rsid w:val="006879E7"/>
    <w:rsid w:val="007A749A"/>
    <w:rsid w:val="007D5AF5"/>
    <w:rsid w:val="007E7DEE"/>
    <w:rsid w:val="00800EFF"/>
    <w:rsid w:val="00AB2932"/>
    <w:rsid w:val="00AC0B5A"/>
    <w:rsid w:val="00B00E4B"/>
    <w:rsid w:val="00B94CA4"/>
    <w:rsid w:val="00B95027"/>
    <w:rsid w:val="00C65DAF"/>
    <w:rsid w:val="00CE7D5C"/>
    <w:rsid w:val="00DA2FB4"/>
    <w:rsid w:val="00DB14D6"/>
    <w:rsid w:val="00E71F8A"/>
    <w:rsid w:val="00F0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F57F"/>
  <w15:docId w15:val="{91BE8657-F018-45D3-844E-A671AF2F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24-013292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Загородня Олена Володимирівна</dc:creator>
  <cp:keywords/>
  <dc:description/>
  <cp:lastModifiedBy>Sec</cp:lastModifiedBy>
  <cp:revision>2</cp:revision>
  <cp:lastPrinted>2025-10-08T13:26:00Z</cp:lastPrinted>
  <dcterms:created xsi:type="dcterms:W3CDTF">2025-11-17T12:38:00Z</dcterms:created>
  <dcterms:modified xsi:type="dcterms:W3CDTF">2025-11-17T12:38:00Z</dcterms:modified>
</cp:coreProperties>
</file>