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49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2392"/>
        <w:gridCol w:w="7621"/>
      </w:tblGrid>
      <w:tr w:rsidR="008C4C9B" w:rsidRPr="007A1AE2" w14:paraId="1882B891" w14:textId="77777777" w:rsidTr="004C6990">
        <w:trPr>
          <w:trHeight w:hRule="exact" w:val="1010"/>
        </w:trPr>
        <w:tc>
          <w:tcPr>
            <w:tcW w:w="10456" w:type="dxa"/>
            <w:gridSpan w:val="3"/>
            <w:shd w:val="clear" w:color="auto" w:fill="auto"/>
            <w:vAlign w:val="center"/>
          </w:tcPr>
          <w:p w14:paraId="5D00BBCC" w14:textId="77777777" w:rsidR="008C4C9B" w:rsidRPr="007A1AE2" w:rsidRDefault="008C4C9B" w:rsidP="00E941B8">
            <w:pPr>
              <w:jc w:val="center"/>
              <w:rPr>
                <w:b/>
                <w:spacing w:val="-10"/>
                <w:sz w:val="28"/>
                <w:szCs w:val="28"/>
              </w:rPr>
            </w:pPr>
            <w:r w:rsidRPr="007A1AE2">
              <w:rPr>
                <w:b/>
                <w:spacing w:val="-10"/>
                <w:sz w:val="28"/>
                <w:szCs w:val="28"/>
              </w:rPr>
              <w:t>Обґрунтування технічних та якісних характеристик</w:t>
            </w:r>
          </w:p>
          <w:p w14:paraId="0031649E" w14:textId="77777777" w:rsidR="008C4C9B" w:rsidRPr="007A1AE2" w:rsidRDefault="008C4C9B" w:rsidP="00E941B8">
            <w:pPr>
              <w:jc w:val="center"/>
              <w:rPr>
                <w:b/>
                <w:spacing w:val="-10"/>
                <w:sz w:val="28"/>
                <w:szCs w:val="28"/>
              </w:rPr>
            </w:pPr>
            <w:r w:rsidRPr="007A1AE2">
              <w:rPr>
                <w:b/>
                <w:spacing w:val="-10"/>
                <w:sz w:val="28"/>
                <w:szCs w:val="28"/>
              </w:rPr>
              <w:t>предмета закупівлі, розміру бюджетного призначення, очікуваної</w:t>
            </w:r>
          </w:p>
          <w:p w14:paraId="01EDBD45" w14:textId="77777777" w:rsidR="008C4C9B" w:rsidRPr="007A1AE2" w:rsidRDefault="008C4C9B" w:rsidP="00E941B8">
            <w:pPr>
              <w:jc w:val="center"/>
              <w:rPr>
                <w:b/>
                <w:spacing w:val="-10"/>
                <w:sz w:val="28"/>
                <w:szCs w:val="28"/>
              </w:rPr>
            </w:pPr>
            <w:r w:rsidRPr="007A1AE2">
              <w:rPr>
                <w:b/>
                <w:spacing w:val="-10"/>
                <w:sz w:val="28"/>
                <w:szCs w:val="28"/>
              </w:rPr>
              <w:t>вартості предмета закупівлі</w:t>
            </w:r>
          </w:p>
        </w:tc>
      </w:tr>
      <w:tr w:rsidR="008C4C9B" w:rsidRPr="007A1AE2" w14:paraId="2C672BAD" w14:textId="77777777" w:rsidTr="004C6990">
        <w:trPr>
          <w:trHeight w:val="2100"/>
        </w:trPr>
        <w:tc>
          <w:tcPr>
            <w:tcW w:w="443" w:type="dxa"/>
            <w:shd w:val="clear" w:color="auto" w:fill="auto"/>
            <w:vAlign w:val="center"/>
          </w:tcPr>
          <w:p w14:paraId="69EF52E0" w14:textId="77777777" w:rsidR="008C4C9B" w:rsidRPr="007A1AE2" w:rsidRDefault="008C4C9B" w:rsidP="00E941B8">
            <w:pPr>
              <w:jc w:val="center"/>
              <w:rPr>
                <w:bCs/>
                <w:spacing w:val="-10"/>
                <w:sz w:val="28"/>
                <w:szCs w:val="28"/>
              </w:rPr>
            </w:pPr>
            <w:r w:rsidRPr="007A1AE2">
              <w:rPr>
                <w:bCs/>
                <w:spacing w:val="-10"/>
                <w:sz w:val="28"/>
                <w:szCs w:val="28"/>
              </w:rPr>
              <w:t>1</w:t>
            </w:r>
          </w:p>
        </w:tc>
        <w:tc>
          <w:tcPr>
            <w:tcW w:w="2392" w:type="dxa"/>
            <w:shd w:val="clear" w:color="auto" w:fill="auto"/>
            <w:vAlign w:val="center"/>
          </w:tcPr>
          <w:p w14:paraId="1D4B4EE1" w14:textId="77777777" w:rsidR="008C4C9B" w:rsidRPr="007A1AE2" w:rsidRDefault="008C4C9B" w:rsidP="007A1AE2">
            <w:pPr>
              <w:jc w:val="right"/>
              <w:rPr>
                <w:rFonts w:ascii="Times New Roman" w:hAnsi="Times New Roman" w:cs="Times New Roman"/>
                <w:bCs/>
                <w:spacing w:val="-10"/>
                <w:sz w:val="24"/>
                <w:szCs w:val="24"/>
              </w:rPr>
            </w:pPr>
            <w:r w:rsidRPr="007A1AE2">
              <w:rPr>
                <w:rFonts w:ascii="Times New Roman" w:hAnsi="Times New Roman" w:cs="Times New Roman"/>
                <w:bCs/>
                <w:spacing w:val="-10"/>
                <w:sz w:val="24"/>
                <w:szCs w:val="24"/>
              </w:rPr>
              <w:t>Назва предмета закупівлі</w:t>
            </w:r>
          </w:p>
        </w:tc>
        <w:tc>
          <w:tcPr>
            <w:tcW w:w="7621" w:type="dxa"/>
            <w:shd w:val="clear" w:color="auto" w:fill="auto"/>
            <w:vAlign w:val="center"/>
          </w:tcPr>
          <w:p w14:paraId="01AC3C7F" w14:textId="77777777" w:rsidR="004C6990" w:rsidRPr="007A1AE2" w:rsidRDefault="008C4C9B" w:rsidP="004C6990">
            <w:pPr>
              <w:ind w:firstLine="0"/>
              <w:jc w:val="left"/>
              <w:rPr>
                <w:rFonts w:ascii="Times New Roman" w:hAnsi="Times New Roman" w:cs="Times New Roman"/>
                <w:sz w:val="28"/>
                <w:szCs w:val="28"/>
              </w:rPr>
            </w:pPr>
            <w:r w:rsidRPr="007A1AE2">
              <w:rPr>
                <w:rFonts w:ascii="Times New Roman" w:hAnsi="Times New Roman" w:cs="Times New Roman"/>
                <w:sz w:val="28"/>
                <w:szCs w:val="28"/>
              </w:rPr>
              <w:t xml:space="preserve">Послуги з постачання, оновлення та супроводу програмного продукту «Система електронного документообігу та автоматизації бізнес-процесів бізнес-процесів «Megapolis.DocNet» (код ДК 72260000-5 Послуги, пов’язані з програмним забезпеченням) (ідентифікатор закупівлі:  </w:t>
            </w:r>
          </w:p>
          <w:p w14:paraId="6D1DD451" w14:textId="587AFF98" w:rsidR="008C4C9B" w:rsidRPr="007A1AE2" w:rsidRDefault="008C4C9B" w:rsidP="004C6990">
            <w:pPr>
              <w:ind w:firstLine="0"/>
              <w:jc w:val="left"/>
              <w:rPr>
                <w:sz w:val="28"/>
                <w:szCs w:val="28"/>
              </w:rPr>
            </w:pPr>
            <w:r w:rsidRPr="007A1AE2">
              <w:rPr>
                <w:rFonts w:ascii="Times New Roman" w:hAnsi="Times New Roman" w:cs="Times New Roman"/>
                <w:b/>
                <w:bCs/>
                <w:color w:val="00A1CD"/>
                <w:sz w:val="28"/>
                <w:szCs w:val="28"/>
                <w:u w:val="single"/>
                <w:shd w:val="clear" w:color="auto" w:fill="FFFFFF"/>
              </w:rPr>
              <w:t>UA-P-2024-04-12-006843-a)</w:t>
            </w:r>
          </w:p>
        </w:tc>
      </w:tr>
      <w:tr w:rsidR="008C4C9B" w:rsidRPr="007A1AE2" w14:paraId="0BDF7DCE" w14:textId="77777777" w:rsidTr="004C6990">
        <w:trPr>
          <w:trHeight w:hRule="exact" w:val="7096"/>
        </w:trPr>
        <w:tc>
          <w:tcPr>
            <w:tcW w:w="443" w:type="dxa"/>
            <w:shd w:val="clear" w:color="auto" w:fill="auto"/>
            <w:vAlign w:val="center"/>
          </w:tcPr>
          <w:p w14:paraId="0D035641" w14:textId="77777777" w:rsidR="008C4C9B" w:rsidRPr="007A1AE2" w:rsidRDefault="008C4C9B" w:rsidP="00E941B8">
            <w:pPr>
              <w:jc w:val="center"/>
              <w:rPr>
                <w:bCs/>
                <w:spacing w:val="-10"/>
                <w:sz w:val="28"/>
                <w:szCs w:val="28"/>
              </w:rPr>
            </w:pPr>
            <w:r w:rsidRPr="007A1AE2">
              <w:rPr>
                <w:bCs/>
                <w:spacing w:val="-10"/>
                <w:sz w:val="28"/>
                <w:szCs w:val="28"/>
              </w:rPr>
              <w:t>2</w:t>
            </w:r>
          </w:p>
        </w:tc>
        <w:tc>
          <w:tcPr>
            <w:tcW w:w="2392" w:type="dxa"/>
            <w:shd w:val="clear" w:color="auto" w:fill="auto"/>
            <w:vAlign w:val="center"/>
          </w:tcPr>
          <w:p w14:paraId="5410BD40" w14:textId="77777777" w:rsidR="008C4C9B" w:rsidRPr="007A1AE2" w:rsidRDefault="008C4C9B" w:rsidP="007A1AE2">
            <w:pPr>
              <w:jc w:val="right"/>
              <w:rPr>
                <w:rFonts w:ascii="Times New Roman" w:hAnsi="Times New Roman" w:cs="Times New Roman"/>
                <w:bCs/>
                <w:spacing w:val="-10"/>
                <w:sz w:val="24"/>
                <w:szCs w:val="24"/>
              </w:rPr>
            </w:pPr>
            <w:r w:rsidRPr="007A1AE2">
              <w:rPr>
                <w:rFonts w:ascii="Times New Roman" w:hAnsi="Times New Roman" w:cs="Times New Roman"/>
                <w:bCs/>
                <w:spacing w:val="-10"/>
                <w:sz w:val="24"/>
                <w:szCs w:val="24"/>
              </w:rPr>
              <w:t>Обґрунтування технічних та якісних характеристик предмета закупівлі</w:t>
            </w:r>
          </w:p>
        </w:tc>
        <w:tc>
          <w:tcPr>
            <w:tcW w:w="7621" w:type="dxa"/>
            <w:shd w:val="clear" w:color="auto" w:fill="auto"/>
          </w:tcPr>
          <w:p w14:paraId="366540AB" w14:textId="77777777" w:rsidR="00BD626A" w:rsidRDefault="00BD626A" w:rsidP="004C6990">
            <w:pPr>
              <w:tabs>
                <w:tab w:val="left" w:pos="9071"/>
              </w:tabs>
              <w:ind w:firstLine="0"/>
              <w:rPr>
                <w:rFonts w:ascii="Times New Roman" w:hAnsi="Times New Roman" w:cs="Times New Roman"/>
                <w:sz w:val="28"/>
                <w:szCs w:val="28"/>
              </w:rPr>
            </w:pPr>
            <w:r w:rsidRPr="00BD626A">
              <w:rPr>
                <w:rFonts w:ascii="Times New Roman" w:hAnsi="Times New Roman" w:cs="Times New Roman"/>
                <w:sz w:val="28"/>
                <w:szCs w:val="28"/>
              </w:rPr>
              <w:t xml:space="preserve">Технічні та якісні характеристики об'єкта закупівлі встановлені у відповідності до вимог Київської обласної військової адміністрації. З метою забезпечення ефективності функціонування системи автоматизованого управління документообігом у Київській обласній державній адміністрації у 2024 році, здійснюється впровадження заходів, спрямованих на підвищення оперативності та ефективності у виконанні завдань, покладених на Київську обласну державну адміністрацію (Київську обласну військову адміністрацію), районні державні адміністрації (районні військові адміністрації) Київської області, зокрема шляхом прискорення та оптимізації внутрішніх процесів діловодства, зміцнення виконавчої дисципліни, посилення поточного контролю, забезпечення інформаційно-аналітичної підтримки у прийнятті управлінських рішень. </w:t>
            </w:r>
          </w:p>
          <w:p w14:paraId="14B3E359" w14:textId="34A19887" w:rsidR="00BD626A" w:rsidRDefault="00BD626A" w:rsidP="004C6990">
            <w:pPr>
              <w:tabs>
                <w:tab w:val="left" w:pos="9071"/>
              </w:tabs>
              <w:ind w:firstLine="0"/>
              <w:rPr>
                <w:rFonts w:ascii="Times New Roman" w:hAnsi="Times New Roman" w:cs="Times New Roman"/>
                <w:sz w:val="28"/>
                <w:szCs w:val="28"/>
              </w:rPr>
            </w:pPr>
            <w:r w:rsidRPr="00BD626A">
              <w:rPr>
                <w:rFonts w:ascii="Times New Roman" w:hAnsi="Times New Roman" w:cs="Times New Roman"/>
                <w:sz w:val="28"/>
                <w:szCs w:val="28"/>
              </w:rPr>
              <w:t>Поставка, оновлення та технічне супроводження програмного продукту «Система електронного документообігу та автоматизації бізнес-процесів «Megapolis.DocNet» сприятимуть прискореному опрацюванню документації та оперативному вирішенню проблем користувачів даної системи.</w:t>
            </w:r>
          </w:p>
          <w:p w14:paraId="11DBE299" w14:textId="77777777" w:rsidR="00BD626A" w:rsidRPr="007A1AE2" w:rsidRDefault="00BD626A" w:rsidP="004C6990">
            <w:pPr>
              <w:tabs>
                <w:tab w:val="left" w:pos="9071"/>
              </w:tabs>
              <w:ind w:firstLine="0"/>
              <w:rPr>
                <w:rFonts w:ascii="Times New Roman" w:hAnsi="Times New Roman" w:cs="Times New Roman"/>
                <w:sz w:val="28"/>
                <w:szCs w:val="28"/>
              </w:rPr>
            </w:pPr>
          </w:p>
          <w:p w14:paraId="1508C0F7" w14:textId="58718F8C" w:rsidR="008C4C9B" w:rsidRPr="007A1AE2" w:rsidRDefault="008C4C9B" w:rsidP="004C6990">
            <w:pPr>
              <w:shd w:val="clear" w:color="auto" w:fill="FFFFFF"/>
              <w:ind w:firstLine="20"/>
              <w:rPr>
                <w:rFonts w:ascii="Times New Roman" w:hAnsi="Times New Roman" w:cs="Times New Roman"/>
                <w:sz w:val="28"/>
                <w:szCs w:val="28"/>
                <w:highlight w:val="yellow"/>
              </w:rPr>
            </w:pPr>
          </w:p>
        </w:tc>
      </w:tr>
      <w:tr w:rsidR="008C4C9B" w:rsidRPr="007A1AE2" w14:paraId="54F53CD6" w14:textId="77777777" w:rsidTr="004C6990">
        <w:trPr>
          <w:trHeight w:val="2670"/>
        </w:trPr>
        <w:tc>
          <w:tcPr>
            <w:tcW w:w="443" w:type="dxa"/>
            <w:shd w:val="clear" w:color="auto" w:fill="auto"/>
            <w:vAlign w:val="center"/>
          </w:tcPr>
          <w:p w14:paraId="17E9F28C" w14:textId="77777777" w:rsidR="008C4C9B" w:rsidRPr="007A1AE2" w:rsidRDefault="008C4C9B" w:rsidP="00E941B8">
            <w:pPr>
              <w:jc w:val="center"/>
              <w:rPr>
                <w:bCs/>
                <w:spacing w:val="-10"/>
                <w:sz w:val="28"/>
                <w:szCs w:val="28"/>
              </w:rPr>
            </w:pPr>
            <w:r w:rsidRPr="007A1AE2">
              <w:rPr>
                <w:bCs/>
                <w:spacing w:val="-10"/>
                <w:sz w:val="28"/>
                <w:szCs w:val="28"/>
              </w:rPr>
              <w:t>3</w:t>
            </w:r>
          </w:p>
        </w:tc>
        <w:tc>
          <w:tcPr>
            <w:tcW w:w="2392" w:type="dxa"/>
            <w:shd w:val="clear" w:color="auto" w:fill="auto"/>
            <w:vAlign w:val="center"/>
          </w:tcPr>
          <w:p w14:paraId="050AACDF" w14:textId="77777777" w:rsidR="008C4C9B" w:rsidRPr="007A1AE2" w:rsidRDefault="008C4C9B" w:rsidP="007A1AE2">
            <w:pPr>
              <w:jc w:val="right"/>
              <w:rPr>
                <w:rFonts w:ascii="Times New Roman" w:hAnsi="Times New Roman" w:cs="Times New Roman"/>
                <w:bCs/>
                <w:spacing w:val="-10"/>
                <w:sz w:val="24"/>
                <w:szCs w:val="24"/>
              </w:rPr>
            </w:pPr>
            <w:r w:rsidRPr="007A1AE2">
              <w:rPr>
                <w:rFonts w:ascii="Times New Roman" w:hAnsi="Times New Roman" w:cs="Times New Roman"/>
                <w:bCs/>
                <w:spacing w:val="-10"/>
                <w:sz w:val="24"/>
                <w:szCs w:val="24"/>
              </w:rPr>
              <w:t>Обґрунтування очікуваної вартості предмета закупівлі, розміру бюджетного призначення</w:t>
            </w:r>
          </w:p>
          <w:p w14:paraId="0596897C" w14:textId="77777777" w:rsidR="008C4C9B" w:rsidRPr="007A1AE2" w:rsidRDefault="008C4C9B" w:rsidP="007A1AE2">
            <w:pPr>
              <w:jc w:val="right"/>
              <w:rPr>
                <w:rFonts w:ascii="Times New Roman" w:hAnsi="Times New Roman" w:cs="Times New Roman"/>
                <w:bCs/>
                <w:spacing w:val="-10"/>
                <w:sz w:val="24"/>
                <w:szCs w:val="24"/>
              </w:rPr>
            </w:pPr>
          </w:p>
        </w:tc>
        <w:tc>
          <w:tcPr>
            <w:tcW w:w="7621" w:type="dxa"/>
            <w:shd w:val="clear" w:color="auto" w:fill="auto"/>
            <w:vAlign w:val="center"/>
          </w:tcPr>
          <w:p w14:paraId="7B24FC70" w14:textId="49A23A98" w:rsidR="008C4C9B" w:rsidRPr="007A1AE2" w:rsidRDefault="007A1AE2" w:rsidP="004C6990">
            <w:pPr>
              <w:pStyle w:val="a3"/>
              <w:ind w:left="0" w:firstLine="0"/>
              <w:rPr>
                <w:spacing w:val="-10"/>
                <w:sz w:val="28"/>
                <w:szCs w:val="28"/>
              </w:rPr>
            </w:pPr>
            <w:r w:rsidRPr="00BF06CE">
              <w:rPr>
                <w:rFonts w:ascii="Times New Roman" w:hAnsi="Times New Roman" w:cs="Times New Roman"/>
                <w:sz w:val="28"/>
                <w:szCs w:val="28"/>
              </w:rPr>
              <w:t>Розмір бюджетного призначення погоджений на 2024 рік: 1 000 000 грн.</w:t>
            </w:r>
            <w:r w:rsidRPr="007A1AE2">
              <w:rPr>
                <w:rFonts w:ascii="Times New Roman" w:hAnsi="Times New Roman" w:cs="Times New Roman"/>
                <w:sz w:val="26"/>
                <w:szCs w:val="26"/>
              </w:rPr>
              <w:t xml:space="preserve"> </w:t>
            </w:r>
            <w:r w:rsidR="0023706F" w:rsidRPr="007A1AE2">
              <w:rPr>
                <w:rFonts w:ascii="Times New Roman" w:hAnsi="Times New Roman" w:cs="Times New Roman"/>
                <w:sz w:val="28"/>
                <w:szCs w:val="28"/>
              </w:rPr>
              <w:t xml:space="preserve">Розрахунок очікуваної вартості закупівлі послуг складено відповідно до рекомендацій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 лютого 2020 року № 275 (зі змінами), зокрема шляхом порівняння отриманих цінових пропозицій від учасників ринку, відповідно до технічної документації Додатком </w:t>
            </w:r>
            <w:r w:rsidR="00DE1048">
              <w:rPr>
                <w:rFonts w:ascii="Times New Roman" w:hAnsi="Times New Roman" w:cs="Times New Roman"/>
                <w:sz w:val="28"/>
                <w:szCs w:val="28"/>
              </w:rPr>
              <w:t>3</w:t>
            </w:r>
            <w:r w:rsidR="0023706F" w:rsidRPr="007A1AE2">
              <w:rPr>
                <w:rFonts w:ascii="Times New Roman" w:hAnsi="Times New Roman" w:cs="Times New Roman"/>
                <w:sz w:val="28"/>
                <w:szCs w:val="28"/>
              </w:rPr>
              <w:t xml:space="preserve"> до Тендерної документації. </w:t>
            </w:r>
          </w:p>
        </w:tc>
      </w:tr>
    </w:tbl>
    <w:p w14:paraId="60CABEA5" w14:textId="77777777" w:rsidR="008C4C9B" w:rsidRPr="007A1AE2" w:rsidRDefault="008C4C9B" w:rsidP="001B547A">
      <w:pPr>
        <w:jc w:val="center"/>
        <w:rPr>
          <w:rFonts w:ascii="Times New Roman" w:hAnsi="Times New Roman" w:cs="Times New Roman"/>
          <w:sz w:val="32"/>
          <w:szCs w:val="32"/>
        </w:rPr>
      </w:pPr>
    </w:p>
    <w:p w14:paraId="5FA9E547" w14:textId="77777777" w:rsidR="004C6990" w:rsidRPr="007A1AE2" w:rsidRDefault="004C6990" w:rsidP="001B547A">
      <w:pPr>
        <w:jc w:val="center"/>
        <w:rPr>
          <w:rFonts w:ascii="Times New Roman" w:hAnsi="Times New Roman" w:cs="Times New Roman"/>
          <w:sz w:val="32"/>
          <w:szCs w:val="32"/>
        </w:rPr>
      </w:pPr>
    </w:p>
    <w:p w14:paraId="1218D5F2" w14:textId="6E548031" w:rsidR="007A1AE2" w:rsidRDefault="007A1AE2" w:rsidP="007A1AE2">
      <w:pPr>
        <w:pStyle w:val="a3"/>
        <w:ind w:left="0" w:right="-31" w:firstLine="0"/>
        <w:rPr>
          <w:rFonts w:ascii="Times New Roman" w:hAnsi="Times New Roman" w:cs="Times New Roman"/>
          <w:sz w:val="32"/>
          <w:szCs w:val="32"/>
          <w:lang w:val="ru-RU"/>
        </w:rPr>
      </w:pPr>
      <w:r w:rsidRPr="007A1AE2">
        <w:rPr>
          <w:rFonts w:ascii="Times New Roman" w:hAnsi="Times New Roman" w:cs="Times New Roman"/>
          <w:b/>
          <w:bCs/>
          <w:sz w:val="26"/>
          <w:szCs w:val="26"/>
        </w:rPr>
        <w:t>Уповноважена</w:t>
      </w:r>
      <w:r w:rsidRPr="007A1AE2">
        <w:rPr>
          <w:rFonts w:ascii="Times New Roman" w:hAnsi="Times New Roman" w:cs="Times New Roman"/>
          <w:sz w:val="26"/>
          <w:szCs w:val="26"/>
        </w:rPr>
        <w:t xml:space="preserve"> </w:t>
      </w:r>
      <w:r w:rsidRPr="007A1AE2">
        <w:rPr>
          <w:rFonts w:ascii="Times New Roman" w:hAnsi="Times New Roman" w:cs="Times New Roman"/>
          <w:b/>
          <w:bCs/>
          <w:sz w:val="26"/>
          <w:szCs w:val="26"/>
        </w:rPr>
        <w:t>особа                                                                          Ірина МИКОЛЕНКО</w:t>
      </w:r>
    </w:p>
    <w:p w14:paraId="3A3AF8DE" w14:textId="77777777" w:rsidR="007A1AE2" w:rsidRDefault="007A1AE2" w:rsidP="001B547A">
      <w:pPr>
        <w:jc w:val="center"/>
        <w:rPr>
          <w:rFonts w:ascii="Times New Roman" w:hAnsi="Times New Roman" w:cs="Times New Roman"/>
          <w:sz w:val="32"/>
          <w:szCs w:val="32"/>
          <w:lang w:val="ru-RU"/>
        </w:rPr>
      </w:pPr>
    </w:p>
    <w:sectPr w:rsidR="007A1AE2" w:rsidSect="0081499C">
      <w:pgSz w:w="11906" w:h="16838"/>
      <w:pgMar w:top="567" w:right="68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65896"/>
    <w:multiLevelType w:val="hybridMultilevel"/>
    <w:tmpl w:val="381E62DA"/>
    <w:lvl w:ilvl="0" w:tplc="A3BE454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7C205E4"/>
    <w:multiLevelType w:val="hybridMultilevel"/>
    <w:tmpl w:val="A3B02400"/>
    <w:lvl w:ilvl="0" w:tplc="58064D7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EBB7902"/>
    <w:multiLevelType w:val="hybridMultilevel"/>
    <w:tmpl w:val="03A6690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411E4D92"/>
    <w:multiLevelType w:val="hybridMultilevel"/>
    <w:tmpl w:val="A3B02400"/>
    <w:lvl w:ilvl="0" w:tplc="58064D7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41B0EC3"/>
    <w:multiLevelType w:val="hybridMultilevel"/>
    <w:tmpl w:val="1E0E4494"/>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4FC33CA"/>
    <w:multiLevelType w:val="hybridMultilevel"/>
    <w:tmpl w:val="145671E4"/>
    <w:lvl w:ilvl="0" w:tplc="EE1AFE1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452C7872"/>
    <w:multiLevelType w:val="hybridMultilevel"/>
    <w:tmpl w:val="A3B02400"/>
    <w:lvl w:ilvl="0" w:tplc="58064D7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5AE6B48"/>
    <w:multiLevelType w:val="hybridMultilevel"/>
    <w:tmpl w:val="A3B02400"/>
    <w:lvl w:ilvl="0" w:tplc="58064D7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114864302">
    <w:abstractNumId w:val="3"/>
  </w:num>
  <w:num w:numId="2" w16cid:durableId="2145270373">
    <w:abstractNumId w:val="2"/>
  </w:num>
  <w:num w:numId="3" w16cid:durableId="1129395764">
    <w:abstractNumId w:val="5"/>
  </w:num>
  <w:num w:numId="4" w16cid:durableId="195391207">
    <w:abstractNumId w:val="0"/>
  </w:num>
  <w:num w:numId="5" w16cid:durableId="1112750380">
    <w:abstractNumId w:val="7"/>
  </w:num>
  <w:num w:numId="6" w16cid:durableId="1513178783">
    <w:abstractNumId w:val="6"/>
  </w:num>
  <w:num w:numId="7" w16cid:durableId="221916645">
    <w:abstractNumId w:val="1"/>
  </w:num>
  <w:num w:numId="8" w16cid:durableId="569275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64E18"/>
    <w:rsid w:val="00005F1C"/>
    <w:rsid w:val="000161FC"/>
    <w:rsid w:val="0002127C"/>
    <w:rsid w:val="00054CF7"/>
    <w:rsid w:val="000560AF"/>
    <w:rsid w:val="00057683"/>
    <w:rsid w:val="000A15FC"/>
    <w:rsid w:val="000A68D8"/>
    <w:rsid w:val="000B4AE2"/>
    <w:rsid w:val="000C258A"/>
    <w:rsid w:val="000C7175"/>
    <w:rsid w:val="000D3380"/>
    <w:rsid w:val="000D480B"/>
    <w:rsid w:val="000F5FA3"/>
    <w:rsid w:val="00112779"/>
    <w:rsid w:val="0011388A"/>
    <w:rsid w:val="001248A1"/>
    <w:rsid w:val="00127277"/>
    <w:rsid w:val="001566AF"/>
    <w:rsid w:val="001621FA"/>
    <w:rsid w:val="00173DEF"/>
    <w:rsid w:val="00184E9F"/>
    <w:rsid w:val="001A6B51"/>
    <w:rsid w:val="001B547A"/>
    <w:rsid w:val="001C5136"/>
    <w:rsid w:val="001D65BB"/>
    <w:rsid w:val="001E4192"/>
    <w:rsid w:val="001F7004"/>
    <w:rsid w:val="0020140C"/>
    <w:rsid w:val="00202E99"/>
    <w:rsid w:val="0021008E"/>
    <w:rsid w:val="0021020E"/>
    <w:rsid w:val="00216CA9"/>
    <w:rsid w:val="0022176A"/>
    <w:rsid w:val="00235615"/>
    <w:rsid w:val="0023706F"/>
    <w:rsid w:val="00244C56"/>
    <w:rsid w:val="00263256"/>
    <w:rsid w:val="00263B0D"/>
    <w:rsid w:val="00267275"/>
    <w:rsid w:val="0027322C"/>
    <w:rsid w:val="00280870"/>
    <w:rsid w:val="002867A7"/>
    <w:rsid w:val="002C3E21"/>
    <w:rsid w:val="002D066E"/>
    <w:rsid w:val="002D0FB3"/>
    <w:rsid w:val="002D6EB9"/>
    <w:rsid w:val="002D756F"/>
    <w:rsid w:val="002E18F6"/>
    <w:rsid w:val="00302758"/>
    <w:rsid w:val="003116C1"/>
    <w:rsid w:val="00337BC6"/>
    <w:rsid w:val="0034499E"/>
    <w:rsid w:val="00350C2B"/>
    <w:rsid w:val="00373E24"/>
    <w:rsid w:val="00382AE2"/>
    <w:rsid w:val="003851AC"/>
    <w:rsid w:val="003868D5"/>
    <w:rsid w:val="003965B2"/>
    <w:rsid w:val="003971AE"/>
    <w:rsid w:val="00397BD4"/>
    <w:rsid w:val="003B6C67"/>
    <w:rsid w:val="003B6E04"/>
    <w:rsid w:val="003C1B69"/>
    <w:rsid w:val="003C47BF"/>
    <w:rsid w:val="003D15C0"/>
    <w:rsid w:val="003E7E74"/>
    <w:rsid w:val="003F3580"/>
    <w:rsid w:val="00407516"/>
    <w:rsid w:val="0041263D"/>
    <w:rsid w:val="004148F2"/>
    <w:rsid w:val="0043103E"/>
    <w:rsid w:val="004330D7"/>
    <w:rsid w:val="004345D9"/>
    <w:rsid w:val="00435DEF"/>
    <w:rsid w:val="00444FC0"/>
    <w:rsid w:val="00456492"/>
    <w:rsid w:val="00470B05"/>
    <w:rsid w:val="00494CB9"/>
    <w:rsid w:val="004A01BA"/>
    <w:rsid w:val="004C6990"/>
    <w:rsid w:val="004E73FD"/>
    <w:rsid w:val="004F3CAB"/>
    <w:rsid w:val="00503AB6"/>
    <w:rsid w:val="00514565"/>
    <w:rsid w:val="005232A2"/>
    <w:rsid w:val="00524EAD"/>
    <w:rsid w:val="00525A86"/>
    <w:rsid w:val="00536AA0"/>
    <w:rsid w:val="00547175"/>
    <w:rsid w:val="005475E8"/>
    <w:rsid w:val="005512A0"/>
    <w:rsid w:val="00551995"/>
    <w:rsid w:val="0057423A"/>
    <w:rsid w:val="00576D08"/>
    <w:rsid w:val="005958D4"/>
    <w:rsid w:val="00597308"/>
    <w:rsid w:val="005A2BD0"/>
    <w:rsid w:val="005B1387"/>
    <w:rsid w:val="005B20A3"/>
    <w:rsid w:val="005B4303"/>
    <w:rsid w:val="005C56E4"/>
    <w:rsid w:val="005E2B50"/>
    <w:rsid w:val="005F7B78"/>
    <w:rsid w:val="00604BC3"/>
    <w:rsid w:val="006246E3"/>
    <w:rsid w:val="00634AC2"/>
    <w:rsid w:val="00657261"/>
    <w:rsid w:val="006637A0"/>
    <w:rsid w:val="00672FDD"/>
    <w:rsid w:val="006750CE"/>
    <w:rsid w:val="00683C9E"/>
    <w:rsid w:val="006A16C5"/>
    <w:rsid w:val="006A6FC1"/>
    <w:rsid w:val="006C33E1"/>
    <w:rsid w:val="006D121B"/>
    <w:rsid w:val="006D4736"/>
    <w:rsid w:val="00701A5F"/>
    <w:rsid w:val="007025B2"/>
    <w:rsid w:val="00721E7C"/>
    <w:rsid w:val="00727C48"/>
    <w:rsid w:val="0074122A"/>
    <w:rsid w:val="007537C1"/>
    <w:rsid w:val="00761DBB"/>
    <w:rsid w:val="00764E18"/>
    <w:rsid w:val="00767451"/>
    <w:rsid w:val="00767FBC"/>
    <w:rsid w:val="00770990"/>
    <w:rsid w:val="007841A4"/>
    <w:rsid w:val="00792F91"/>
    <w:rsid w:val="007A1AE2"/>
    <w:rsid w:val="007D47B3"/>
    <w:rsid w:val="007D688D"/>
    <w:rsid w:val="00804428"/>
    <w:rsid w:val="00806AC1"/>
    <w:rsid w:val="00812F97"/>
    <w:rsid w:val="0081499C"/>
    <w:rsid w:val="00830CE9"/>
    <w:rsid w:val="008331BB"/>
    <w:rsid w:val="008451D2"/>
    <w:rsid w:val="008464E9"/>
    <w:rsid w:val="00852D98"/>
    <w:rsid w:val="00853C0C"/>
    <w:rsid w:val="008541B5"/>
    <w:rsid w:val="008563FD"/>
    <w:rsid w:val="0085749F"/>
    <w:rsid w:val="0086300D"/>
    <w:rsid w:val="00866606"/>
    <w:rsid w:val="00894153"/>
    <w:rsid w:val="0089633D"/>
    <w:rsid w:val="008A40DB"/>
    <w:rsid w:val="008C4C9B"/>
    <w:rsid w:val="008F4332"/>
    <w:rsid w:val="008F59A5"/>
    <w:rsid w:val="00901FB5"/>
    <w:rsid w:val="00910EE6"/>
    <w:rsid w:val="00915FA1"/>
    <w:rsid w:val="00920874"/>
    <w:rsid w:val="0094522F"/>
    <w:rsid w:val="00992C28"/>
    <w:rsid w:val="009A414B"/>
    <w:rsid w:val="009A7816"/>
    <w:rsid w:val="009B613E"/>
    <w:rsid w:val="009C2621"/>
    <w:rsid w:val="009D5A69"/>
    <w:rsid w:val="009F3A7F"/>
    <w:rsid w:val="009F4BF6"/>
    <w:rsid w:val="00A037B2"/>
    <w:rsid w:val="00A0537D"/>
    <w:rsid w:val="00A16B80"/>
    <w:rsid w:val="00A241A9"/>
    <w:rsid w:val="00A25844"/>
    <w:rsid w:val="00A350E8"/>
    <w:rsid w:val="00A45D7A"/>
    <w:rsid w:val="00A77AFD"/>
    <w:rsid w:val="00A92C03"/>
    <w:rsid w:val="00A93E53"/>
    <w:rsid w:val="00AE2079"/>
    <w:rsid w:val="00AF0729"/>
    <w:rsid w:val="00AF68C0"/>
    <w:rsid w:val="00B02AEB"/>
    <w:rsid w:val="00B37A14"/>
    <w:rsid w:val="00B539F0"/>
    <w:rsid w:val="00B665F7"/>
    <w:rsid w:val="00B70E62"/>
    <w:rsid w:val="00B875A6"/>
    <w:rsid w:val="00B87B52"/>
    <w:rsid w:val="00B90A9F"/>
    <w:rsid w:val="00B95DE9"/>
    <w:rsid w:val="00BA0AA7"/>
    <w:rsid w:val="00BB7816"/>
    <w:rsid w:val="00BC10A8"/>
    <w:rsid w:val="00BD626A"/>
    <w:rsid w:val="00BE0F76"/>
    <w:rsid w:val="00BE325C"/>
    <w:rsid w:val="00BF06CE"/>
    <w:rsid w:val="00C07FFE"/>
    <w:rsid w:val="00C20CD6"/>
    <w:rsid w:val="00C276EC"/>
    <w:rsid w:val="00C37ACD"/>
    <w:rsid w:val="00C50FBF"/>
    <w:rsid w:val="00C54161"/>
    <w:rsid w:val="00C6154F"/>
    <w:rsid w:val="00C75F68"/>
    <w:rsid w:val="00C8103C"/>
    <w:rsid w:val="00C84F8B"/>
    <w:rsid w:val="00C86ADC"/>
    <w:rsid w:val="00CB33D4"/>
    <w:rsid w:val="00D50EAE"/>
    <w:rsid w:val="00D63249"/>
    <w:rsid w:val="00D6585F"/>
    <w:rsid w:val="00D77339"/>
    <w:rsid w:val="00DC34B7"/>
    <w:rsid w:val="00DE1048"/>
    <w:rsid w:val="00DE375B"/>
    <w:rsid w:val="00DE6B83"/>
    <w:rsid w:val="00DF0095"/>
    <w:rsid w:val="00E02853"/>
    <w:rsid w:val="00E221A1"/>
    <w:rsid w:val="00E34DD1"/>
    <w:rsid w:val="00E51E07"/>
    <w:rsid w:val="00E57CBE"/>
    <w:rsid w:val="00E703D0"/>
    <w:rsid w:val="00E761D5"/>
    <w:rsid w:val="00E918F5"/>
    <w:rsid w:val="00EA6F37"/>
    <w:rsid w:val="00EA7474"/>
    <w:rsid w:val="00ED4C79"/>
    <w:rsid w:val="00ED6918"/>
    <w:rsid w:val="00EE27AC"/>
    <w:rsid w:val="00F07E20"/>
    <w:rsid w:val="00F17070"/>
    <w:rsid w:val="00F20153"/>
    <w:rsid w:val="00F3001B"/>
    <w:rsid w:val="00F376C8"/>
    <w:rsid w:val="00F434FC"/>
    <w:rsid w:val="00F43E73"/>
    <w:rsid w:val="00F62397"/>
    <w:rsid w:val="00F72FA4"/>
    <w:rsid w:val="00FA11DF"/>
    <w:rsid w:val="00FB4018"/>
    <w:rsid w:val="00FB57D7"/>
    <w:rsid w:val="00FC4DE4"/>
    <w:rsid w:val="00FD3B07"/>
    <w:rsid w:val="00FE0A84"/>
    <w:rsid w:val="00FE37E4"/>
    <w:rsid w:val="00FF128C"/>
    <w:rsid w:val="00FF42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7259"/>
  <w15:docId w15:val="{E2492471-95D7-4F83-A60B-08ED295D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AE2"/>
  </w:style>
  <w:style w:type="paragraph" w:styleId="1">
    <w:name w:val="heading 1"/>
    <w:basedOn w:val="a"/>
    <w:next w:val="a"/>
    <w:link w:val="10"/>
    <w:qFormat/>
    <w:rsid w:val="0086300D"/>
    <w:pPr>
      <w:keepNext/>
      <w:widowControl w:val="0"/>
      <w:shd w:val="clear" w:color="auto" w:fill="FFFFFF"/>
      <w:autoSpaceDE w:val="0"/>
      <w:autoSpaceDN w:val="0"/>
      <w:adjustRightInd w:val="0"/>
      <w:ind w:firstLine="0"/>
      <w:jc w:val="right"/>
      <w:outlineLvl w:val="0"/>
    </w:pPr>
    <w:rPr>
      <w:rFonts w:ascii="Times New Roman" w:eastAsia="Times New Roman" w:hAnsi="Times New Roman" w:cs="Times New Roman"/>
      <w:b/>
      <w:bCs/>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3CAB"/>
    <w:pPr>
      <w:ind w:left="720"/>
      <w:contextualSpacing/>
    </w:pPr>
  </w:style>
  <w:style w:type="paragraph" w:styleId="a4">
    <w:name w:val="Balloon Text"/>
    <w:basedOn w:val="a"/>
    <w:link w:val="a5"/>
    <w:uiPriority w:val="99"/>
    <w:semiHidden/>
    <w:unhideWhenUsed/>
    <w:rsid w:val="002867A7"/>
    <w:rPr>
      <w:rFonts w:ascii="Tahoma" w:hAnsi="Tahoma" w:cs="Tahoma"/>
      <w:sz w:val="16"/>
      <w:szCs w:val="16"/>
    </w:rPr>
  </w:style>
  <w:style w:type="character" w:customStyle="1" w:styleId="a5">
    <w:name w:val="Текст выноски Знак"/>
    <w:basedOn w:val="a0"/>
    <w:link w:val="a4"/>
    <w:uiPriority w:val="99"/>
    <w:semiHidden/>
    <w:rsid w:val="002867A7"/>
    <w:rPr>
      <w:rFonts w:ascii="Tahoma" w:hAnsi="Tahoma" w:cs="Tahoma"/>
      <w:sz w:val="16"/>
      <w:szCs w:val="16"/>
    </w:rPr>
  </w:style>
  <w:style w:type="character" w:styleId="a6">
    <w:name w:val="Hyperlink"/>
    <w:basedOn w:val="a0"/>
    <w:uiPriority w:val="99"/>
    <w:unhideWhenUsed/>
    <w:rsid w:val="00A350E8"/>
    <w:rPr>
      <w:color w:val="0000FF" w:themeColor="hyperlink"/>
      <w:u w:val="single"/>
    </w:rPr>
  </w:style>
  <w:style w:type="character" w:styleId="a7">
    <w:name w:val="FollowedHyperlink"/>
    <w:basedOn w:val="a0"/>
    <w:uiPriority w:val="99"/>
    <w:semiHidden/>
    <w:unhideWhenUsed/>
    <w:rsid w:val="00770990"/>
    <w:rPr>
      <w:color w:val="800080" w:themeColor="followedHyperlink"/>
      <w:u w:val="single"/>
    </w:rPr>
  </w:style>
  <w:style w:type="character" w:customStyle="1" w:styleId="10">
    <w:name w:val="Заголовок 1 Знак"/>
    <w:basedOn w:val="a0"/>
    <w:link w:val="1"/>
    <w:rsid w:val="0086300D"/>
    <w:rPr>
      <w:rFonts w:ascii="Times New Roman" w:eastAsia="Times New Roman" w:hAnsi="Times New Roman" w:cs="Times New Roman"/>
      <w:b/>
      <w:bCs/>
      <w:color w:val="000000"/>
      <w:sz w:val="24"/>
      <w:szCs w:val="20"/>
      <w:shd w:val="clear" w:color="auto" w:fill="FFFFFF"/>
      <w:lang w:eastAsia="ru-RU"/>
    </w:rPr>
  </w:style>
  <w:style w:type="paragraph" w:styleId="a8">
    <w:name w:val="No Spacing"/>
    <w:uiPriority w:val="1"/>
    <w:qFormat/>
    <w:rsid w:val="008C4C9B"/>
    <w:pPr>
      <w:ind w:firstLine="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3039A-2A2D-4E00-86A1-A6B5EC66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Pages>
  <Words>347</Words>
  <Characters>1980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Державна казначейська служба України</dc:creator>
  <cp:lastModifiedBy>Ірина Миколенко</cp:lastModifiedBy>
  <cp:revision>197</cp:revision>
  <cp:lastPrinted>2018-05-31T13:47:00Z</cp:lastPrinted>
  <dcterms:created xsi:type="dcterms:W3CDTF">2018-03-27T20:42:00Z</dcterms:created>
  <dcterms:modified xsi:type="dcterms:W3CDTF">2024-05-21T09:48:00Z</dcterms:modified>
</cp:coreProperties>
</file>