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A74C1" w14:textId="77777777" w:rsidR="009C47C2" w:rsidRPr="006559E7" w:rsidRDefault="009C47C2" w:rsidP="006559E7">
      <w:pPr>
        <w:pStyle w:val="a3"/>
        <w:jc w:val="center"/>
        <w:outlineLvl w:val="0"/>
        <w:rPr>
          <w:rStyle w:val="a4"/>
          <w:color w:val="auto"/>
          <w:sz w:val="28"/>
          <w:szCs w:val="28"/>
          <w:lang w:val="uk-UA"/>
        </w:rPr>
      </w:pPr>
      <w:r w:rsidRPr="006559E7">
        <w:rPr>
          <w:rStyle w:val="a4"/>
          <w:color w:val="auto"/>
          <w:sz w:val="28"/>
          <w:szCs w:val="28"/>
          <w:lang w:val="uk-UA"/>
        </w:rPr>
        <w:t>Інформація</w:t>
      </w:r>
    </w:p>
    <w:p w14:paraId="680E89C9" w14:textId="77777777" w:rsidR="00D509AD" w:rsidRDefault="009C47C2" w:rsidP="006559E7">
      <w:pPr>
        <w:pStyle w:val="a3"/>
        <w:jc w:val="center"/>
        <w:rPr>
          <w:rStyle w:val="a4"/>
          <w:color w:val="auto"/>
          <w:sz w:val="28"/>
          <w:szCs w:val="28"/>
          <w:lang w:val="uk-UA"/>
        </w:rPr>
      </w:pPr>
      <w:r w:rsidRPr="006559E7">
        <w:rPr>
          <w:rStyle w:val="a4"/>
          <w:color w:val="auto"/>
          <w:sz w:val="28"/>
          <w:szCs w:val="28"/>
          <w:lang w:val="uk-UA"/>
        </w:rPr>
        <w:t>Київської обласної державної адміністрації</w:t>
      </w:r>
      <w:r w:rsidR="00D509AD">
        <w:rPr>
          <w:rStyle w:val="a4"/>
          <w:color w:val="auto"/>
          <w:sz w:val="28"/>
          <w:szCs w:val="28"/>
          <w:lang w:val="uk-UA"/>
        </w:rPr>
        <w:t xml:space="preserve"> </w:t>
      </w:r>
    </w:p>
    <w:p w14:paraId="505DC131" w14:textId="13BA2AF4" w:rsidR="009C47C2" w:rsidRPr="006559E7" w:rsidRDefault="00D509AD" w:rsidP="006559E7">
      <w:pPr>
        <w:pStyle w:val="a3"/>
        <w:jc w:val="center"/>
        <w:rPr>
          <w:rStyle w:val="a4"/>
          <w:color w:val="auto"/>
          <w:sz w:val="28"/>
          <w:szCs w:val="28"/>
          <w:lang w:val="uk-UA"/>
        </w:rPr>
      </w:pPr>
      <w:r>
        <w:rPr>
          <w:rStyle w:val="a4"/>
          <w:color w:val="auto"/>
          <w:sz w:val="28"/>
          <w:szCs w:val="28"/>
          <w:lang w:val="uk-UA"/>
        </w:rPr>
        <w:t xml:space="preserve">(Київської обласної військової адміністрації) </w:t>
      </w:r>
    </w:p>
    <w:p w14:paraId="40B55CEE" w14:textId="67CA3790" w:rsidR="009C47C2" w:rsidRPr="00AA7437" w:rsidRDefault="009C47C2" w:rsidP="00AA7437">
      <w:pPr>
        <w:pStyle w:val="a3"/>
        <w:jc w:val="center"/>
        <w:rPr>
          <w:rStyle w:val="a4"/>
          <w:color w:val="000000" w:themeColor="text1"/>
          <w:sz w:val="28"/>
          <w:szCs w:val="28"/>
          <w:lang w:val="uk-UA"/>
        </w:rPr>
      </w:pPr>
      <w:r w:rsidRPr="006559E7">
        <w:rPr>
          <w:rStyle w:val="a4"/>
          <w:color w:val="auto"/>
          <w:sz w:val="28"/>
          <w:szCs w:val="28"/>
          <w:lang w:val="uk-UA"/>
        </w:rPr>
        <w:t>про здійснення державної регуляторної політики</w:t>
      </w:r>
      <w:r w:rsidR="00D85B9A">
        <w:rPr>
          <w:b/>
          <w:bCs/>
          <w:color w:val="auto"/>
          <w:sz w:val="28"/>
          <w:szCs w:val="28"/>
          <w:lang w:val="uk-UA"/>
        </w:rPr>
        <w:t xml:space="preserve"> </w:t>
      </w:r>
      <w:r w:rsidR="000A2139">
        <w:rPr>
          <w:rStyle w:val="a4"/>
          <w:color w:val="auto"/>
          <w:sz w:val="28"/>
          <w:szCs w:val="28"/>
          <w:lang w:val="uk-UA"/>
        </w:rPr>
        <w:t>у</w:t>
      </w:r>
      <w:r w:rsidR="00FF7B73">
        <w:rPr>
          <w:rStyle w:val="a4"/>
          <w:color w:val="auto"/>
          <w:sz w:val="28"/>
          <w:szCs w:val="28"/>
          <w:lang w:val="uk-UA"/>
        </w:rPr>
        <w:t xml:space="preserve"> </w:t>
      </w:r>
      <w:r w:rsidR="00FF7B73" w:rsidRPr="00041FC7">
        <w:rPr>
          <w:rStyle w:val="a4"/>
          <w:color w:val="000000" w:themeColor="text1"/>
          <w:sz w:val="28"/>
          <w:szCs w:val="28"/>
          <w:lang w:val="uk-UA"/>
        </w:rPr>
        <w:t>202</w:t>
      </w:r>
      <w:r w:rsidR="00D73138">
        <w:rPr>
          <w:rStyle w:val="a4"/>
          <w:color w:val="000000" w:themeColor="text1"/>
          <w:sz w:val="28"/>
          <w:szCs w:val="28"/>
          <w:lang w:val="uk-UA"/>
        </w:rPr>
        <w:t>2</w:t>
      </w:r>
      <w:r w:rsidRPr="00041FC7">
        <w:rPr>
          <w:rStyle w:val="a4"/>
          <w:color w:val="000000" w:themeColor="text1"/>
          <w:sz w:val="28"/>
          <w:szCs w:val="28"/>
          <w:lang w:val="uk-UA"/>
        </w:rPr>
        <w:t xml:space="preserve"> році</w:t>
      </w:r>
      <w:r w:rsidR="00D85B9A">
        <w:rPr>
          <w:rStyle w:val="a4"/>
          <w:color w:val="000000" w:themeColor="text1"/>
          <w:sz w:val="28"/>
          <w:szCs w:val="28"/>
          <w:lang w:val="uk-UA"/>
        </w:rPr>
        <w:t xml:space="preserve"> </w:t>
      </w:r>
    </w:p>
    <w:p w14:paraId="08BAFF11" w14:textId="77777777" w:rsidR="009C47C2" w:rsidRPr="00FC0D1B" w:rsidRDefault="009C47C2" w:rsidP="00FC0D1B">
      <w:pPr>
        <w:pStyle w:val="a3"/>
        <w:ind w:hanging="360"/>
        <w:jc w:val="both"/>
        <w:rPr>
          <w:rStyle w:val="a4"/>
          <w:b w:val="0"/>
          <w:bCs w:val="0"/>
          <w:color w:val="auto"/>
          <w:sz w:val="28"/>
          <w:szCs w:val="28"/>
          <w:lang w:val="uk-UA"/>
        </w:rPr>
      </w:pPr>
    </w:p>
    <w:p w14:paraId="08D7D22C" w14:textId="770A58E1" w:rsidR="009C47C2" w:rsidRPr="000D060B" w:rsidRDefault="009C47C2" w:rsidP="000D060B">
      <w:pPr>
        <w:pStyle w:val="a3"/>
        <w:numPr>
          <w:ilvl w:val="0"/>
          <w:numId w:val="5"/>
        </w:numPr>
        <w:ind w:left="0" w:firstLine="567"/>
        <w:jc w:val="both"/>
        <w:rPr>
          <w:b/>
          <w:color w:val="auto"/>
          <w:sz w:val="28"/>
          <w:szCs w:val="28"/>
          <w:lang w:val="uk-UA"/>
        </w:rPr>
      </w:pPr>
      <w:r w:rsidRPr="000D060B">
        <w:rPr>
          <w:b/>
          <w:color w:val="auto"/>
          <w:sz w:val="28"/>
          <w:szCs w:val="28"/>
          <w:lang w:val="uk-UA"/>
        </w:rPr>
        <w:t>Вступна частина</w:t>
      </w:r>
      <w:r w:rsidR="00FC0D1B">
        <w:rPr>
          <w:b/>
          <w:color w:val="auto"/>
          <w:sz w:val="28"/>
          <w:szCs w:val="28"/>
          <w:lang w:val="uk-UA"/>
        </w:rPr>
        <w:t xml:space="preserve"> </w:t>
      </w:r>
    </w:p>
    <w:p w14:paraId="5AA68ECA" w14:textId="77777777" w:rsidR="009C47C2" w:rsidRPr="00FC0D1B" w:rsidRDefault="009C47C2" w:rsidP="000D060B">
      <w:pPr>
        <w:pStyle w:val="a3"/>
        <w:ind w:firstLine="567"/>
        <w:jc w:val="both"/>
        <w:rPr>
          <w:bCs/>
          <w:color w:val="auto"/>
          <w:sz w:val="28"/>
          <w:szCs w:val="28"/>
          <w:lang w:val="uk-UA"/>
        </w:rPr>
      </w:pPr>
    </w:p>
    <w:p w14:paraId="42C0CD0D" w14:textId="3B1C811D" w:rsidR="009C47C2" w:rsidRPr="000D060B" w:rsidRDefault="00FF7B73" w:rsidP="000D060B">
      <w:pPr>
        <w:pStyle w:val="a3"/>
        <w:ind w:firstLine="567"/>
        <w:jc w:val="both"/>
        <w:rPr>
          <w:rStyle w:val="a4"/>
          <w:b w:val="0"/>
          <w:bCs w:val="0"/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Протягом 202</w:t>
      </w:r>
      <w:r w:rsidR="00D509AD" w:rsidRPr="000D060B">
        <w:rPr>
          <w:color w:val="auto"/>
          <w:sz w:val="28"/>
          <w:szCs w:val="28"/>
          <w:lang w:val="uk-UA"/>
        </w:rPr>
        <w:t>2</w:t>
      </w:r>
      <w:r w:rsidR="002C4EAA" w:rsidRPr="000D060B">
        <w:rPr>
          <w:color w:val="auto"/>
          <w:sz w:val="28"/>
          <w:szCs w:val="28"/>
          <w:lang w:val="uk-UA"/>
        </w:rPr>
        <w:t xml:space="preserve"> року р</w:t>
      </w:r>
      <w:r w:rsidR="009C47C2" w:rsidRPr="000D060B">
        <w:rPr>
          <w:color w:val="auto"/>
          <w:sz w:val="28"/>
          <w:szCs w:val="28"/>
          <w:lang w:val="uk-UA"/>
        </w:rPr>
        <w:t>еалізація д</w:t>
      </w:r>
      <w:r w:rsidR="002C4EAA" w:rsidRPr="000D060B">
        <w:rPr>
          <w:color w:val="auto"/>
          <w:sz w:val="28"/>
          <w:szCs w:val="28"/>
          <w:lang w:val="uk-UA"/>
        </w:rPr>
        <w:t xml:space="preserve">ержавної регуляторної політики </w:t>
      </w:r>
      <w:r w:rsidR="009C47C2" w:rsidRPr="000D060B">
        <w:rPr>
          <w:color w:val="auto"/>
          <w:sz w:val="28"/>
          <w:szCs w:val="28"/>
          <w:lang w:val="uk-UA"/>
        </w:rPr>
        <w:t>Київською обласною державн</w:t>
      </w:r>
      <w:r w:rsidR="005944A7" w:rsidRPr="000D060B">
        <w:rPr>
          <w:color w:val="auto"/>
          <w:sz w:val="28"/>
          <w:szCs w:val="28"/>
          <w:lang w:val="uk-UA"/>
        </w:rPr>
        <w:t>ою адміністрацією</w:t>
      </w:r>
      <w:r w:rsidR="00D509AD" w:rsidRPr="000D060B">
        <w:rPr>
          <w:color w:val="auto"/>
          <w:sz w:val="28"/>
          <w:szCs w:val="28"/>
          <w:lang w:val="uk-UA"/>
        </w:rPr>
        <w:t xml:space="preserve"> (Київською обласною військовою адміністрацією)</w:t>
      </w:r>
      <w:r w:rsidR="005944A7" w:rsidRPr="000D060B">
        <w:rPr>
          <w:color w:val="auto"/>
          <w:sz w:val="28"/>
          <w:szCs w:val="28"/>
          <w:lang w:val="uk-UA"/>
        </w:rPr>
        <w:t xml:space="preserve"> </w:t>
      </w:r>
      <w:r w:rsidR="002C4EAA" w:rsidRPr="000D060B">
        <w:rPr>
          <w:color w:val="auto"/>
          <w:sz w:val="28"/>
          <w:szCs w:val="28"/>
          <w:lang w:val="uk-UA"/>
        </w:rPr>
        <w:t xml:space="preserve">здійснювалась </w:t>
      </w:r>
      <w:r w:rsidR="009C47C2" w:rsidRPr="000D060B">
        <w:rPr>
          <w:color w:val="auto"/>
          <w:sz w:val="28"/>
          <w:szCs w:val="28"/>
          <w:lang w:val="uk-UA"/>
        </w:rPr>
        <w:t xml:space="preserve">у відповідності </w:t>
      </w:r>
      <w:r w:rsidR="002C4EAA" w:rsidRPr="000D060B">
        <w:rPr>
          <w:color w:val="auto"/>
          <w:sz w:val="28"/>
          <w:szCs w:val="28"/>
          <w:lang w:val="uk-UA"/>
        </w:rPr>
        <w:t>до вимог</w:t>
      </w:r>
      <w:r w:rsidR="009C47C2" w:rsidRPr="000D060B">
        <w:rPr>
          <w:color w:val="auto"/>
          <w:sz w:val="28"/>
          <w:szCs w:val="28"/>
          <w:lang w:val="uk-UA"/>
        </w:rPr>
        <w:t>, визначени</w:t>
      </w:r>
      <w:r w:rsidR="002C4EAA" w:rsidRPr="000D060B">
        <w:rPr>
          <w:color w:val="auto"/>
          <w:sz w:val="28"/>
          <w:szCs w:val="28"/>
          <w:lang w:val="uk-UA"/>
        </w:rPr>
        <w:t>х</w:t>
      </w:r>
      <w:r w:rsidR="009C47C2" w:rsidRPr="000D060B">
        <w:rPr>
          <w:color w:val="auto"/>
          <w:sz w:val="28"/>
          <w:szCs w:val="28"/>
          <w:lang w:val="uk-UA"/>
        </w:rPr>
        <w:t xml:space="preserve"> Законом України </w:t>
      </w:r>
      <w:r w:rsidR="003C7111" w:rsidRPr="000D060B">
        <w:rPr>
          <w:color w:val="auto"/>
          <w:sz w:val="28"/>
          <w:szCs w:val="28"/>
          <w:lang w:val="uk-UA"/>
        </w:rPr>
        <w:t>«</w:t>
      </w:r>
      <w:r w:rsidR="009C47C2" w:rsidRPr="000D060B">
        <w:rPr>
          <w:color w:val="auto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3C7111" w:rsidRPr="000D060B">
        <w:rPr>
          <w:color w:val="auto"/>
          <w:sz w:val="28"/>
          <w:szCs w:val="28"/>
          <w:lang w:val="uk-UA"/>
        </w:rPr>
        <w:t>»</w:t>
      </w:r>
      <w:r w:rsidR="009C47C2" w:rsidRPr="000D060B">
        <w:rPr>
          <w:color w:val="auto"/>
          <w:sz w:val="28"/>
          <w:szCs w:val="28"/>
          <w:lang w:val="uk-UA"/>
        </w:rPr>
        <w:t xml:space="preserve"> (далі – Закон) та іншими нормативно-правовими актами з питань державної регуляторної політики.</w:t>
      </w:r>
    </w:p>
    <w:p w14:paraId="79873440" w14:textId="7FADC40D" w:rsidR="009C47C2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Регуляторн</w:t>
      </w:r>
      <w:r w:rsidR="00C36BEF" w:rsidRPr="000D060B">
        <w:rPr>
          <w:color w:val="auto"/>
          <w:sz w:val="28"/>
          <w:szCs w:val="28"/>
          <w:lang w:val="uk-UA"/>
        </w:rPr>
        <w:t>і</w:t>
      </w:r>
      <w:r w:rsidRPr="000D060B">
        <w:rPr>
          <w:color w:val="auto"/>
          <w:sz w:val="28"/>
          <w:szCs w:val="28"/>
          <w:lang w:val="uk-UA"/>
        </w:rPr>
        <w:t xml:space="preserve"> органи </w:t>
      </w:r>
      <w:r w:rsidR="003F5DCD" w:rsidRPr="000D060B">
        <w:rPr>
          <w:color w:val="auto"/>
          <w:sz w:val="28"/>
          <w:szCs w:val="28"/>
          <w:lang w:val="uk-UA"/>
        </w:rPr>
        <w:t xml:space="preserve">Київської </w:t>
      </w:r>
      <w:r w:rsidRPr="000D060B">
        <w:rPr>
          <w:color w:val="auto"/>
          <w:sz w:val="28"/>
          <w:szCs w:val="28"/>
          <w:lang w:val="uk-UA"/>
        </w:rPr>
        <w:t>області спрямовувал</w:t>
      </w:r>
      <w:r w:rsidR="00C36BEF" w:rsidRPr="000D060B">
        <w:rPr>
          <w:color w:val="auto"/>
          <w:sz w:val="28"/>
          <w:szCs w:val="28"/>
          <w:lang w:val="uk-UA"/>
        </w:rPr>
        <w:t>и свою</w:t>
      </w:r>
      <w:r w:rsidRPr="000D060B">
        <w:rPr>
          <w:color w:val="auto"/>
          <w:sz w:val="28"/>
          <w:szCs w:val="28"/>
          <w:lang w:val="uk-UA"/>
        </w:rPr>
        <w:t xml:space="preserve"> робот</w:t>
      </w:r>
      <w:r w:rsidR="00C36BEF" w:rsidRPr="000D060B">
        <w:rPr>
          <w:color w:val="auto"/>
          <w:sz w:val="28"/>
          <w:szCs w:val="28"/>
          <w:lang w:val="uk-UA"/>
        </w:rPr>
        <w:t>у</w:t>
      </w:r>
      <w:r w:rsidRPr="000D060B">
        <w:rPr>
          <w:color w:val="auto"/>
          <w:sz w:val="28"/>
          <w:szCs w:val="28"/>
          <w:lang w:val="uk-UA"/>
        </w:rPr>
        <w:t xml:space="preserve"> на:</w:t>
      </w:r>
      <w:r w:rsidR="002F5733" w:rsidRPr="000D060B">
        <w:rPr>
          <w:color w:val="auto"/>
          <w:sz w:val="28"/>
          <w:szCs w:val="28"/>
          <w:lang w:val="uk-UA"/>
        </w:rPr>
        <w:t xml:space="preserve"> </w:t>
      </w:r>
    </w:p>
    <w:p w14:paraId="52EC74DC" w14:textId="77777777" w:rsidR="009C47C2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bCs/>
          <w:color w:val="auto"/>
          <w:sz w:val="28"/>
          <w:szCs w:val="28"/>
          <w:lang w:val="uk-UA"/>
        </w:rPr>
        <w:t>б</w:t>
      </w:r>
      <w:r w:rsidR="00493154" w:rsidRPr="000D060B">
        <w:rPr>
          <w:color w:val="auto"/>
          <w:sz w:val="28"/>
          <w:szCs w:val="28"/>
          <w:lang w:val="uk-UA"/>
        </w:rPr>
        <w:t>езумовне дотримання вимог чинного законодавства України у сфері державної регуляторної політики</w:t>
      </w:r>
      <w:r w:rsidRPr="000D060B">
        <w:rPr>
          <w:color w:val="auto"/>
          <w:sz w:val="28"/>
          <w:szCs w:val="28"/>
          <w:lang w:val="uk-UA"/>
        </w:rPr>
        <w:t>;</w:t>
      </w:r>
    </w:p>
    <w:p w14:paraId="544BEE44" w14:textId="77777777" w:rsidR="009C47C2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встановлення єдиного системного підходу до впровадження регуляторної діяльності;</w:t>
      </w:r>
    </w:p>
    <w:p w14:paraId="00009873" w14:textId="77777777" w:rsidR="009C47C2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підвищення якості підготовки а</w:t>
      </w:r>
      <w:r w:rsidR="00493154" w:rsidRPr="000D060B">
        <w:rPr>
          <w:color w:val="auto"/>
          <w:sz w:val="28"/>
          <w:szCs w:val="28"/>
          <w:lang w:val="uk-UA"/>
        </w:rPr>
        <w:t xml:space="preserve">налізів регуляторного впливу, </w:t>
      </w:r>
      <w:r w:rsidRPr="000D060B">
        <w:rPr>
          <w:color w:val="auto"/>
          <w:sz w:val="28"/>
          <w:szCs w:val="28"/>
          <w:lang w:val="uk-UA"/>
        </w:rPr>
        <w:t xml:space="preserve">звітів з відстеження результативності </w:t>
      </w:r>
      <w:r w:rsidR="00493154" w:rsidRPr="000D060B">
        <w:rPr>
          <w:color w:val="auto"/>
          <w:sz w:val="28"/>
          <w:szCs w:val="28"/>
          <w:lang w:val="uk-UA"/>
        </w:rPr>
        <w:t xml:space="preserve">прийнятих </w:t>
      </w:r>
      <w:r w:rsidRPr="000D060B">
        <w:rPr>
          <w:color w:val="auto"/>
          <w:sz w:val="28"/>
          <w:szCs w:val="28"/>
          <w:lang w:val="uk-UA"/>
        </w:rPr>
        <w:t>регуляторних актів;</w:t>
      </w:r>
    </w:p>
    <w:p w14:paraId="31E51CEA" w14:textId="77777777" w:rsidR="009C47C2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забезпечення інформаційної відкритості з питань державної регуляторної політики;</w:t>
      </w:r>
    </w:p>
    <w:p w14:paraId="3D930C22" w14:textId="77777777" w:rsidR="009C47C2" w:rsidRPr="000D060B" w:rsidRDefault="00493154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посилення методичного забезпечення щодо впровадження державної регуляторної політики місцевими органами виконавчої влади й органами місцевого самоврядування</w:t>
      </w:r>
      <w:r w:rsidR="009C47C2" w:rsidRPr="000D060B">
        <w:rPr>
          <w:color w:val="auto"/>
          <w:sz w:val="28"/>
          <w:szCs w:val="28"/>
          <w:lang w:val="uk-UA"/>
        </w:rPr>
        <w:t>;</w:t>
      </w:r>
    </w:p>
    <w:p w14:paraId="4D4554C9" w14:textId="77777777" w:rsidR="009C47C2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залучення громадськості до обговоре</w:t>
      </w:r>
      <w:r w:rsidR="00F65373" w:rsidRPr="000D060B">
        <w:rPr>
          <w:color w:val="auto"/>
          <w:sz w:val="28"/>
          <w:szCs w:val="28"/>
          <w:lang w:val="uk-UA"/>
        </w:rPr>
        <w:t xml:space="preserve">ння </w:t>
      </w:r>
      <w:proofErr w:type="spellStart"/>
      <w:r w:rsidR="00F65373" w:rsidRPr="000D060B">
        <w:rPr>
          <w:color w:val="auto"/>
          <w:sz w:val="28"/>
          <w:szCs w:val="28"/>
          <w:lang w:val="uk-UA"/>
        </w:rPr>
        <w:t>проє</w:t>
      </w:r>
      <w:r w:rsidR="00493154" w:rsidRPr="000D060B">
        <w:rPr>
          <w:color w:val="auto"/>
          <w:sz w:val="28"/>
          <w:szCs w:val="28"/>
          <w:lang w:val="uk-UA"/>
        </w:rPr>
        <w:t>ктів</w:t>
      </w:r>
      <w:proofErr w:type="spellEnd"/>
      <w:r w:rsidR="00493154" w:rsidRPr="000D060B">
        <w:rPr>
          <w:color w:val="auto"/>
          <w:sz w:val="28"/>
          <w:szCs w:val="28"/>
          <w:lang w:val="uk-UA"/>
        </w:rPr>
        <w:t xml:space="preserve"> регуляторних актів;</w:t>
      </w:r>
    </w:p>
    <w:p w14:paraId="77D27417" w14:textId="77777777" w:rsidR="00493154" w:rsidRPr="000D060B" w:rsidRDefault="00493154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запровадження ефективних форм моніторингу виконання основних засад чинного законодавства України з питань державної регуляторної політики.</w:t>
      </w:r>
    </w:p>
    <w:p w14:paraId="5FBC84B9" w14:textId="2E9950C7" w:rsidR="009C47C2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 xml:space="preserve">Повноваження з питань реалізації державної регуляторної політики у Київській обласній державній адміністрації </w:t>
      </w:r>
      <w:r w:rsidR="003F5DCD" w:rsidRPr="000D060B">
        <w:rPr>
          <w:color w:val="auto"/>
          <w:sz w:val="28"/>
          <w:szCs w:val="28"/>
          <w:lang w:val="uk-UA"/>
        </w:rPr>
        <w:t xml:space="preserve">(Київській обласній військовій адміністрації) </w:t>
      </w:r>
      <w:r w:rsidRPr="000D060B">
        <w:rPr>
          <w:color w:val="auto"/>
          <w:sz w:val="28"/>
          <w:szCs w:val="28"/>
          <w:lang w:val="uk-UA"/>
        </w:rPr>
        <w:t xml:space="preserve">здійснює </w:t>
      </w:r>
      <w:r w:rsidR="003F5DCD" w:rsidRPr="000D060B">
        <w:rPr>
          <w:color w:val="auto"/>
          <w:sz w:val="28"/>
          <w:szCs w:val="28"/>
          <w:lang w:val="uk-UA"/>
        </w:rPr>
        <w:t>Д</w:t>
      </w:r>
      <w:r w:rsidR="003C7111" w:rsidRPr="000D060B">
        <w:rPr>
          <w:color w:val="auto"/>
          <w:sz w:val="28"/>
          <w:szCs w:val="28"/>
          <w:lang w:val="uk-UA"/>
        </w:rPr>
        <w:t>епартамент</w:t>
      </w:r>
      <w:r w:rsidRPr="000D060B">
        <w:rPr>
          <w:color w:val="auto"/>
          <w:sz w:val="28"/>
          <w:szCs w:val="28"/>
          <w:lang w:val="uk-UA"/>
        </w:rPr>
        <w:t xml:space="preserve"> </w:t>
      </w:r>
      <w:r w:rsidR="00F65373" w:rsidRPr="000D060B">
        <w:rPr>
          <w:color w:val="auto"/>
          <w:sz w:val="28"/>
          <w:szCs w:val="28"/>
          <w:lang w:val="uk-UA"/>
        </w:rPr>
        <w:t xml:space="preserve">економіки </w:t>
      </w:r>
      <w:r w:rsidR="003F5DCD" w:rsidRPr="000D060B">
        <w:rPr>
          <w:color w:val="auto"/>
          <w:sz w:val="28"/>
          <w:szCs w:val="28"/>
          <w:lang w:val="uk-UA"/>
        </w:rPr>
        <w:t>Київської обласної державної адміністрації</w:t>
      </w:r>
      <w:r w:rsidR="00DE23E3" w:rsidRPr="000D060B">
        <w:rPr>
          <w:color w:val="auto"/>
          <w:sz w:val="28"/>
          <w:szCs w:val="28"/>
          <w:lang w:val="uk-UA"/>
        </w:rPr>
        <w:t xml:space="preserve"> (далі – </w:t>
      </w:r>
      <w:r w:rsidR="003F5DCD" w:rsidRPr="000D060B">
        <w:rPr>
          <w:color w:val="auto"/>
          <w:sz w:val="28"/>
          <w:szCs w:val="28"/>
          <w:lang w:val="uk-UA"/>
        </w:rPr>
        <w:t>Д</w:t>
      </w:r>
      <w:r w:rsidR="00DE23E3" w:rsidRPr="000D060B">
        <w:rPr>
          <w:color w:val="auto"/>
          <w:sz w:val="28"/>
          <w:szCs w:val="28"/>
          <w:lang w:val="uk-UA"/>
        </w:rPr>
        <w:t>епартамент)</w:t>
      </w:r>
      <w:r w:rsidRPr="000D060B">
        <w:rPr>
          <w:color w:val="auto"/>
          <w:sz w:val="28"/>
          <w:szCs w:val="28"/>
          <w:lang w:val="uk-UA"/>
        </w:rPr>
        <w:t xml:space="preserve">. У </w:t>
      </w:r>
      <w:r w:rsidR="003C7111" w:rsidRPr="000D060B">
        <w:rPr>
          <w:color w:val="auto"/>
          <w:sz w:val="28"/>
          <w:szCs w:val="28"/>
          <w:lang w:val="uk-UA"/>
        </w:rPr>
        <w:t xml:space="preserve">структурі </w:t>
      </w:r>
      <w:r w:rsidR="00E2136A" w:rsidRPr="000D060B">
        <w:rPr>
          <w:color w:val="auto"/>
          <w:sz w:val="28"/>
          <w:szCs w:val="28"/>
          <w:lang w:val="uk-UA"/>
        </w:rPr>
        <w:t>регуляторних органів області</w:t>
      </w:r>
      <w:r w:rsidRPr="000D060B">
        <w:rPr>
          <w:color w:val="auto"/>
          <w:sz w:val="28"/>
          <w:szCs w:val="28"/>
          <w:lang w:val="uk-UA"/>
        </w:rPr>
        <w:t xml:space="preserve"> </w:t>
      </w:r>
      <w:r w:rsidR="003C7111" w:rsidRPr="000D060B">
        <w:rPr>
          <w:color w:val="auto"/>
          <w:sz w:val="28"/>
          <w:szCs w:val="28"/>
          <w:lang w:val="uk-UA"/>
        </w:rPr>
        <w:t>повноваження щодо</w:t>
      </w:r>
      <w:r w:rsidRPr="000D060B">
        <w:rPr>
          <w:color w:val="auto"/>
          <w:sz w:val="28"/>
          <w:szCs w:val="28"/>
          <w:lang w:val="uk-UA"/>
        </w:rPr>
        <w:t xml:space="preserve"> реалізації державної регуляторної політики </w:t>
      </w:r>
      <w:r w:rsidR="005A5D1B" w:rsidRPr="000D060B">
        <w:rPr>
          <w:color w:val="auto"/>
          <w:sz w:val="28"/>
          <w:szCs w:val="28"/>
          <w:lang w:val="uk-UA"/>
        </w:rPr>
        <w:t xml:space="preserve">було </w:t>
      </w:r>
      <w:r w:rsidRPr="000D060B">
        <w:rPr>
          <w:color w:val="auto"/>
          <w:sz w:val="28"/>
          <w:szCs w:val="28"/>
          <w:lang w:val="uk-UA"/>
        </w:rPr>
        <w:t>покладен</w:t>
      </w:r>
      <w:r w:rsidR="003C7111" w:rsidRPr="000D060B">
        <w:rPr>
          <w:color w:val="auto"/>
          <w:sz w:val="28"/>
          <w:szCs w:val="28"/>
          <w:lang w:val="uk-UA"/>
        </w:rPr>
        <w:t>о</w:t>
      </w:r>
      <w:r w:rsidR="002F5733" w:rsidRPr="000D060B">
        <w:rPr>
          <w:color w:val="auto"/>
          <w:sz w:val="28"/>
          <w:szCs w:val="28"/>
          <w:lang w:val="uk-UA"/>
        </w:rPr>
        <w:t xml:space="preserve"> на економічні підрозділи. </w:t>
      </w:r>
    </w:p>
    <w:p w14:paraId="5E3C9C79" w14:textId="77777777" w:rsidR="00D42BA7" w:rsidRPr="000D060B" w:rsidRDefault="00D42BA7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</w:p>
    <w:p w14:paraId="564BC40B" w14:textId="77777777" w:rsidR="00D42BA7" w:rsidRPr="000D060B" w:rsidRDefault="009C47C2" w:rsidP="000D060B">
      <w:pPr>
        <w:pStyle w:val="a3"/>
        <w:numPr>
          <w:ilvl w:val="0"/>
          <w:numId w:val="5"/>
        </w:numPr>
        <w:ind w:left="0" w:firstLine="567"/>
        <w:jc w:val="both"/>
        <w:rPr>
          <w:b/>
          <w:color w:val="auto"/>
          <w:sz w:val="28"/>
          <w:szCs w:val="28"/>
          <w:lang w:val="uk-UA"/>
        </w:rPr>
      </w:pPr>
      <w:r w:rsidRPr="000D060B">
        <w:rPr>
          <w:b/>
          <w:color w:val="auto"/>
          <w:sz w:val="28"/>
          <w:szCs w:val="28"/>
          <w:lang w:val="uk-UA"/>
        </w:rPr>
        <w:t>Загальна частина</w:t>
      </w:r>
    </w:p>
    <w:p w14:paraId="33ACBE07" w14:textId="77777777" w:rsidR="007D223C" w:rsidRPr="000D060B" w:rsidRDefault="007D223C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</w:p>
    <w:p w14:paraId="0502D8D4" w14:textId="0A912A7F" w:rsidR="00D42BA7" w:rsidRPr="000D060B" w:rsidRDefault="007A6F32" w:rsidP="000D060B">
      <w:pPr>
        <w:pStyle w:val="a3"/>
        <w:ind w:firstLine="567"/>
        <w:jc w:val="both"/>
        <w:rPr>
          <w:b/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Н</w:t>
      </w:r>
      <w:r w:rsidR="009C47C2" w:rsidRPr="000D060B">
        <w:rPr>
          <w:color w:val="auto"/>
          <w:sz w:val="28"/>
          <w:szCs w:val="28"/>
          <w:lang w:val="uk-UA"/>
        </w:rPr>
        <w:t>алагоджен</w:t>
      </w:r>
      <w:r w:rsidRPr="000D060B">
        <w:rPr>
          <w:color w:val="auto"/>
          <w:sz w:val="28"/>
          <w:szCs w:val="28"/>
          <w:lang w:val="uk-UA"/>
        </w:rPr>
        <w:t>о</w:t>
      </w:r>
      <w:r w:rsidR="009C47C2" w:rsidRPr="000D060B">
        <w:rPr>
          <w:color w:val="auto"/>
          <w:sz w:val="28"/>
          <w:szCs w:val="28"/>
          <w:lang w:val="uk-UA"/>
        </w:rPr>
        <w:t xml:space="preserve"> прозор</w:t>
      </w:r>
      <w:r w:rsidRPr="000D060B">
        <w:rPr>
          <w:color w:val="auto"/>
          <w:sz w:val="28"/>
          <w:szCs w:val="28"/>
          <w:lang w:val="uk-UA"/>
        </w:rPr>
        <w:t>у</w:t>
      </w:r>
      <w:r w:rsidR="009C47C2" w:rsidRPr="000D060B">
        <w:rPr>
          <w:color w:val="auto"/>
          <w:sz w:val="28"/>
          <w:szCs w:val="28"/>
          <w:lang w:val="uk-UA"/>
        </w:rPr>
        <w:t xml:space="preserve"> систе</w:t>
      </w:r>
      <w:r w:rsidR="00A7028E" w:rsidRPr="000D060B">
        <w:rPr>
          <w:color w:val="auto"/>
          <w:sz w:val="28"/>
          <w:szCs w:val="28"/>
          <w:lang w:val="uk-UA"/>
        </w:rPr>
        <w:t>м</w:t>
      </w:r>
      <w:r w:rsidRPr="000D060B">
        <w:rPr>
          <w:color w:val="auto"/>
          <w:sz w:val="28"/>
          <w:szCs w:val="28"/>
          <w:lang w:val="uk-UA"/>
        </w:rPr>
        <w:t>у</w:t>
      </w:r>
      <w:r w:rsidR="00A7028E" w:rsidRPr="000D060B">
        <w:rPr>
          <w:color w:val="auto"/>
          <w:sz w:val="28"/>
          <w:szCs w:val="28"/>
          <w:lang w:val="uk-UA"/>
        </w:rPr>
        <w:t xml:space="preserve"> планування та підготовки </w:t>
      </w:r>
      <w:proofErr w:type="spellStart"/>
      <w:r w:rsidR="00A7028E" w:rsidRPr="000D060B">
        <w:rPr>
          <w:color w:val="auto"/>
          <w:sz w:val="28"/>
          <w:szCs w:val="28"/>
          <w:lang w:val="uk-UA"/>
        </w:rPr>
        <w:t>проє</w:t>
      </w:r>
      <w:r w:rsidR="009C47C2" w:rsidRPr="000D060B">
        <w:rPr>
          <w:color w:val="auto"/>
          <w:sz w:val="28"/>
          <w:szCs w:val="28"/>
          <w:lang w:val="uk-UA"/>
        </w:rPr>
        <w:t>ктів</w:t>
      </w:r>
      <w:proofErr w:type="spellEnd"/>
      <w:r w:rsidR="009C47C2" w:rsidRPr="000D060B">
        <w:rPr>
          <w:color w:val="auto"/>
          <w:sz w:val="28"/>
          <w:szCs w:val="28"/>
          <w:lang w:val="uk-UA"/>
        </w:rPr>
        <w:t xml:space="preserve"> регуляторних актів.</w:t>
      </w:r>
    </w:p>
    <w:p w14:paraId="5944FF07" w14:textId="77777777" w:rsidR="00EE3816" w:rsidRPr="000D060B" w:rsidRDefault="009C47C2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t>Розроб</w:t>
      </w:r>
      <w:r w:rsidR="003C7111" w:rsidRPr="000D060B">
        <w:rPr>
          <w:color w:val="auto"/>
          <w:sz w:val="28"/>
          <w:szCs w:val="28"/>
          <w:lang w:val="uk-UA"/>
        </w:rPr>
        <w:t>ка</w:t>
      </w:r>
      <w:r w:rsidR="00A7028E" w:rsidRPr="000D060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A7028E" w:rsidRPr="000D060B">
        <w:rPr>
          <w:color w:val="auto"/>
          <w:sz w:val="28"/>
          <w:szCs w:val="28"/>
          <w:lang w:val="uk-UA"/>
        </w:rPr>
        <w:t>проє</w:t>
      </w:r>
      <w:r w:rsidRPr="000D060B">
        <w:rPr>
          <w:color w:val="auto"/>
          <w:sz w:val="28"/>
          <w:szCs w:val="28"/>
          <w:lang w:val="uk-UA"/>
        </w:rPr>
        <w:t>ктів</w:t>
      </w:r>
      <w:proofErr w:type="spellEnd"/>
      <w:r w:rsidRPr="000D060B">
        <w:rPr>
          <w:color w:val="auto"/>
          <w:sz w:val="28"/>
          <w:szCs w:val="28"/>
          <w:lang w:val="uk-UA"/>
        </w:rPr>
        <w:t xml:space="preserve"> регуляторних актів та складання аналізу їх впливу розробниками регуляторних актів Київської області проводиться з дотриманням вимог статей 7, 8, 9, 10 Закону</w:t>
      </w:r>
      <w:r w:rsidR="00F75F28" w:rsidRPr="000D060B">
        <w:rPr>
          <w:color w:val="auto"/>
          <w:sz w:val="28"/>
          <w:szCs w:val="28"/>
          <w:lang w:val="uk-UA"/>
        </w:rPr>
        <w:t xml:space="preserve"> та п</w:t>
      </w:r>
      <w:r w:rsidRPr="000D060B">
        <w:rPr>
          <w:color w:val="auto"/>
          <w:sz w:val="28"/>
          <w:szCs w:val="28"/>
          <w:lang w:val="uk-UA"/>
        </w:rPr>
        <w:t>останови</w:t>
      </w:r>
      <w:r w:rsidR="00F75F28" w:rsidRPr="000D060B">
        <w:rPr>
          <w:color w:val="auto"/>
          <w:sz w:val="28"/>
          <w:szCs w:val="28"/>
          <w:lang w:val="uk-UA"/>
        </w:rPr>
        <w:t xml:space="preserve"> Кабінету Міністрів України від 11.03.2004 № 308 «Про затвердження </w:t>
      </w:r>
      <w:proofErr w:type="spellStart"/>
      <w:r w:rsidR="00F75F28" w:rsidRPr="000D060B">
        <w:rPr>
          <w:color w:val="auto"/>
          <w:sz w:val="28"/>
          <w:szCs w:val="28"/>
          <w:lang w:val="uk-UA"/>
        </w:rPr>
        <w:t>методик</w:t>
      </w:r>
      <w:proofErr w:type="spellEnd"/>
      <w:r w:rsidR="00F75F28" w:rsidRPr="000D060B">
        <w:rPr>
          <w:color w:val="auto"/>
          <w:sz w:val="28"/>
          <w:szCs w:val="28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="00F75F28" w:rsidRPr="000D060B">
        <w:rPr>
          <w:color w:val="auto"/>
          <w:sz w:val="28"/>
          <w:szCs w:val="28"/>
          <w:lang w:val="uk-UA"/>
        </w:rPr>
        <w:t>ак</w:t>
      </w:r>
      <w:r w:rsidR="003C7111" w:rsidRPr="000D060B">
        <w:rPr>
          <w:color w:val="auto"/>
          <w:sz w:val="28"/>
          <w:szCs w:val="28"/>
          <w:lang w:val="uk-UA"/>
        </w:rPr>
        <w:t>та</w:t>
      </w:r>
      <w:proofErr w:type="spellEnd"/>
      <w:r w:rsidR="003C7111" w:rsidRPr="000D060B">
        <w:rPr>
          <w:color w:val="auto"/>
          <w:sz w:val="28"/>
          <w:szCs w:val="28"/>
          <w:lang w:val="uk-UA"/>
        </w:rPr>
        <w:t>»</w:t>
      </w:r>
      <w:r w:rsidRPr="000D060B">
        <w:rPr>
          <w:color w:val="auto"/>
          <w:sz w:val="28"/>
          <w:szCs w:val="28"/>
          <w:lang w:val="uk-UA"/>
        </w:rPr>
        <w:t>.</w:t>
      </w:r>
      <w:r w:rsidR="00EE3816" w:rsidRPr="000D060B">
        <w:rPr>
          <w:color w:val="auto"/>
          <w:sz w:val="28"/>
          <w:szCs w:val="28"/>
          <w:lang w:val="uk-UA"/>
        </w:rPr>
        <w:t xml:space="preserve"> </w:t>
      </w:r>
    </w:p>
    <w:p w14:paraId="46F88A5B" w14:textId="0C40F73F" w:rsidR="00EE3816" w:rsidRPr="000D060B" w:rsidRDefault="00EE3816" w:rsidP="000D060B">
      <w:pPr>
        <w:pStyle w:val="a3"/>
        <w:ind w:firstLine="567"/>
        <w:jc w:val="both"/>
        <w:rPr>
          <w:color w:val="auto"/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lastRenderedPageBreak/>
        <w:t xml:space="preserve">З метою дотримання принципу прозорості та врахування громадської думки на офіційному </w:t>
      </w:r>
      <w:r w:rsidR="00411CAD" w:rsidRPr="000D060B">
        <w:rPr>
          <w:color w:val="auto"/>
          <w:sz w:val="28"/>
          <w:szCs w:val="28"/>
          <w:lang w:val="uk-UA"/>
        </w:rPr>
        <w:t>веб-</w:t>
      </w:r>
      <w:r w:rsidRPr="000D060B">
        <w:rPr>
          <w:color w:val="auto"/>
          <w:sz w:val="28"/>
          <w:szCs w:val="28"/>
          <w:lang w:val="uk-UA"/>
        </w:rPr>
        <w:t xml:space="preserve">сайті Київської обласної державної адміністрації створено окремий </w:t>
      </w:r>
      <w:r w:rsidR="001B3BA0" w:rsidRPr="000D060B">
        <w:rPr>
          <w:color w:val="auto"/>
          <w:sz w:val="28"/>
          <w:szCs w:val="28"/>
          <w:lang w:val="uk-UA"/>
        </w:rPr>
        <w:t xml:space="preserve">розділ «Регуляторна </w:t>
      </w:r>
      <w:r w:rsidR="00BF67BF">
        <w:rPr>
          <w:color w:val="auto"/>
          <w:sz w:val="28"/>
          <w:szCs w:val="28"/>
          <w:lang w:val="uk-UA"/>
        </w:rPr>
        <w:t>діяльність</w:t>
      </w:r>
      <w:r w:rsidR="001B3BA0" w:rsidRPr="000D060B">
        <w:rPr>
          <w:color w:val="auto"/>
          <w:sz w:val="28"/>
          <w:szCs w:val="28"/>
          <w:lang w:val="uk-UA"/>
        </w:rPr>
        <w:t>». У</w:t>
      </w:r>
      <w:r w:rsidRPr="000D060B">
        <w:rPr>
          <w:color w:val="auto"/>
          <w:sz w:val="28"/>
          <w:szCs w:val="28"/>
          <w:lang w:val="uk-UA"/>
        </w:rPr>
        <w:t xml:space="preserve"> зазначеному розділі </w:t>
      </w:r>
      <w:r w:rsidR="00A420BD" w:rsidRPr="000D060B">
        <w:rPr>
          <w:color w:val="auto"/>
          <w:sz w:val="28"/>
          <w:szCs w:val="28"/>
          <w:lang w:val="uk-UA"/>
        </w:rPr>
        <w:t xml:space="preserve">в окремі модулі виокремлена </w:t>
      </w:r>
      <w:r w:rsidRPr="000D060B">
        <w:rPr>
          <w:color w:val="auto"/>
          <w:sz w:val="28"/>
          <w:szCs w:val="28"/>
          <w:lang w:val="uk-UA"/>
        </w:rPr>
        <w:t xml:space="preserve">інформація щодо планування регуляторної діяльності, </w:t>
      </w:r>
      <w:r w:rsidR="002A12FA" w:rsidRPr="000D060B">
        <w:rPr>
          <w:color w:val="auto"/>
          <w:sz w:val="28"/>
          <w:szCs w:val="28"/>
          <w:lang w:val="uk-UA"/>
        </w:rPr>
        <w:t xml:space="preserve">оприлюднення </w:t>
      </w:r>
      <w:proofErr w:type="spellStart"/>
      <w:r w:rsidR="002A12FA" w:rsidRPr="000D060B">
        <w:rPr>
          <w:color w:val="auto"/>
          <w:sz w:val="28"/>
          <w:szCs w:val="28"/>
          <w:lang w:val="uk-UA"/>
        </w:rPr>
        <w:t>проєктів</w:t>
      </w:r>
      <w:proofErr w:type="spellEnd"/>
      <w:r w:rsidR="002A12FA" w:rsidRPr="000D060B">
        <w:rPr>
          <w:color w:val="auto"/>
          <w:sz w:val="28"/>
          <w:szCs w:val="28"/>
          <w:lang w:val="uk-UA"/>
        </w:rPr>
        <w:t xml:space="preserve"> регуляторних актів, </w:t>
      </w:r>
      <w:r w:rsidR="00154BDA" w:rsidRPr="000D060B">
        <w:rPr>
          <w:color w:val="auto"/>
          <w:sz w:val="28"/>
          <w:szCs w:val="28"/>
          <w:lang w:val="uk-UA"/>
        </w:rPr>
        <w:t xml:space="preserve">відстеження результативності та відомості про здійснення регуляторної діяльності. </w:t>
      </w:r>
    </w:p>
    <w:p w14:paraId="434435C7" w14:textId="4ADC151E" w:rsidR="0002738B" w:rsidRPr="000D060B" w:rsidRDefault="00154BDA" w:rsidP="000D060B">
      <w:pPr>
        <w:pStyle w:val="a3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0D060B">
        <w:rPr>
          <w:color w:val="auto"/>
          <w:sz w:val="28"/>
          <w:szCs w:val="28"/>
          <w:lang w:val="uk-UA"/>
        </w:rPr>
        <w:t>Щодо дотримання принципу передбачуваності, який полягає в послідовності регуляторної діяльності виконавчих органів та з</w:t>
      </w:r>
      <w:r w:rsidR="00D74CB0" w:rsidRPr="000D060B">
        <w:rPr>
          <w:color w:val="auto"/>
          <w:sz w:val="28"/>
          <w:szCs w:val="28"/>
          <w:lang w:val="uk-UA"/>
        </w:rPr>
        <w:t>гідно з вимогами статті 7 Закону</w:t>
      </w:r>
      <w:r w:rsidR="00146845" w:rsidRPr="000D060B">
        <w:rPr>
          <w:color w:val="auto"/>
          <w:sz w:val="28"/>
          <w:szCs w:val="28"/>
          <w:lang w:val="uk-UA"/>
        </w:rPr>
        <w:t xml:space="preserve"> </w:t>
      </w:r>
      <w:r w:rsidR="0002738B" w:rsidRPr="000D060B">
        <w:rPr>
          <w:sz w:val="28"/>
          <w:szCs w:val="28"/>
          <w:lang w:val="uk-UA" w:eastAsia="uk-UA"/>
        </w:rPr>
        <w:t xml:space="preserve">в головному розділі «Діяльність Київської ОДА» на офіційному сайті Київської обласної державної адміністрації (Київської обласної військової адміністрації) в підрозділі </w:t>
      </w:r>
      <w:r w:rsidR="0002738B" w:rsidRPr="000D060B">
        <w:rPr>
          <w:sz w:val="28"/>
          <w:szCs w:val="28"/>
          <w:shd w:val="clear" w:color="auto" w:fill="FFFFFF"/>
          <w:lang w:val="uk-UA" w:eastAsia="uk-UA"/>
        </w:rPr>
        <w:t xml:space="preserve">«Планування регуляторної діяльності» розділу «Регуляторна діяльність» розміщено План </w:t>
      </w:r>
      <w:r w:rsidR="0002738B" w:rsidRPr="000D060B">
        <w:rPr>
          <w:sz w:val="28"/>
          <w:szCs w:val="28"/>
          <w:lang w:val="uk-UA" w:eastAsia="uk-UA"/>
        </w:rPr>
        <w:t xml:space="preserve">діяльності з підготовки </w:t>
      </w:r>
      <w:proofErr w:type="spellStart"/>
      <w:r w:rsidR="0002738B" w:rsidRPr="000D060B">
        <w:rPr>
          <w:sz w:val="28"/>
          <w:szCs w:val="28"/>
          <w:lang w:val="uk-UA" w:eastAsia="uk-UA"/>
        </w:rPr>
        <w:t>проєктів</w:t>
      </w:r>
      <w:proofErr w:type="spellEnd"/>
      <w:r w:rsidR="0002738B" w:rsidRPr="000D060B">
        <w:rPr>
          <w:sz w:val="28"/>
          <w:szCs w:val="28"/>
          <w:lang w:val="uk-UA" w:eastAsia="uk-UA"/>
        </w:rPr>
        <w:t xml:space="preserve"> регуляторних актів у сфері господарської діяльності Київської обласної державної адміністрації (Київської обласної військової адміністрації) на 2023 рік, затверджений розпорядженням Київської обласної державної адміністрації (Київської обласної військової адміністрації) від 07 грудня 2022 року № 911 «Про деякі питання реалізації державної регуляторної політики». </w:t>
      </w:r>
    </w:p>
    <w:p w14:paraId="10172567" w14:textId="06D08C3A" w:rsidR="009C47C2" w:rsidRPr="000D060B" w:rsidRDefault="00C80077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В</w:t>
      </w:r>
      <w:r w:rsidR="009C47C2" w:rsidRPr="000D060B">
        <w:rPr>
          <w:rFonts w:ascii="Times New Roman" w:hAnsi="Times New Roman" w:cs="Times New Roman"/>
          <w:sz w:val="28"/>
          <w:szCs w:val="28"/>
        </w:rPr>
        <w:t xml:space="preserve">ідповідна робота проводилася </w:t>
      </w:r>
      <w:r w:rsidR="00952446" w:rsidRPr="000D060B">
        <w:rPr>
          <w:rFonts w:ascii="Times New Roman" w:hAnsi="Times New Roman" w:cs="Times New Roman"/>
          <w:sz w:val="28"/>
          <w:szCs w:val="28"/>
          <w:lang w:val="ru-RU"/>
        </w:rPr>
        <w:t xml:space="preserve">регуляторними органами області, </w:t>
      </w:r>
      <w:r w:rsidR="00D74CB0" w:rsidRPr="000D060B">
        <w:rPr>
          <w:rFonts w:ascii="Times New Roman" w:hAnsi="Times New Roman" w:cs="Times New Roman"/>
          <w:sz w:val="28"/>
          <w:szCs w:val="28"/>
        </w:rPr>
        <w:t xml:space="preserve">Плани діяльності </w:t>
      </w:r>
      <w:proofErr w:type="spellStart"/>
      <w:r w:rsidR="00307E1F" w:rsidRPr="000D060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307E1F" w:rsidRPr="000D0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4CB0" w:rsidRPr="000D060B">
        <w:rPr>
          <w:rFonts w:ascii="Times New Roman" w:hAnsi="Times New Roman" w:cs="Times New Roman"/>
          <w:sz w:val="28"/>
          <w:szCs w:val="28"/>
        </w:rPr>
        <w:t>були затверджені та оприлюднені відповідно до положень чинного законодавства</w:t>
      </w:r>
      <w:r w:rsidR="009C47C2" w:rsidRPr="000D060B">
        <w:rPr>
          <w:rFonts w:ascii="Times New Roman" w:hAnsi="Times New Roman" w:cs="Times New Roman"/>
          <w:sz w:val="28"/>
          <w:szCs w:val="28"/>
        </w:rPr>
        <w:t xml:space="preserve">. На виконання вимог статей 7, 13 Закону </w:t>
      </w:r>
      <w:r w:rsidR="00271F64" w:rsidRPr="000D060B">
        <w:rPr>
          <w:rFonts w:ascii="Times New Roman" w:hAnsi="Times New Roman" w:cs="Times New Roman"/>
          <w:sz w:val="28"/>
          <w:szCs w:val="28"/>
        </w:rPr>
        <w:t>поінформовано</w:t>
      </w:r>
      <w:r w:rsidR="009C47C2" w:rsidRPr="000D060B">
        <w:rPr>
          <w:rFonts w:ascii="Times New Roman" w:hAnsi="Times New Roman" w:cs="Times New Roman"/>
          <w:sz w:val="28"/>
          <w:szCs w:val="28"/>
        </w:rPr>
        <w:t xml:space="preserve"> </w:t>
      </w:r>
      <w:r w:rsidR="00952446" w:rsidRPr="000D060B">
        <w:rPr>
          <w:rFonts w:ascii="Times New Roman" w:hAnsi="Times New Roman" w:cs="Times New Roman"/>
          <w:sz w:val="28"/>
          <w:szCs w:val="28"/>
        </w:rPr>
        <w:t>органи виконавчої влади та органи місцевого самоврядування</w:t>
      </w:r>
      <w:r w:rsidR="009C47C2" w:rsidRPr="000D060B">
        <w:rPr>
          <w:rFonts w:ascii="Times New Roman" w:hAnsi="Times New Roman" w:cs="Times New Roman"/>
          <w:sz w:val="28"/>
          <w:szCs w:val="28"/>
        </w:rPr>
        <w:t xml:space="preserve"> </w:t>
      </w:r>
      <w:r w:rsidR="00737616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271F64" w:rsidRPr="000D060B">
        <w:rPr>
          <w:rFonts w:ascii="Times New Roman" w:hAnsi="Times New Roman" w:cs="Times New Roman"/>
          <w:sz w:val="28"/>
          <w:szCs w:val="28"/>
        </w:rPr>
        <w:t>про</w:t>
      </w:r>
      <w:r w:rsidR="009C47C2" w:rsidRPr="000D060B">
        <w:rPr>
          <w:rFonts w:ascii="Times New Roman" w:hAnsi="Times New Roman" w:cs="Times New Roman"/>
          <w:sz w:val="28"/>
          <w:szCs w:val="28"/>
        </w:rPr>
        <w:t xml:space="preserve"> затвердження та оприлюднення затверджених Пла</w:t>
      </w:r>
      <w:r w:rsidR="00952446" w:rsidRPr="000D060B">
        <w:rPr>
          <w:rFonts w:ascii="Times New Roman" w:hAnsi="Times New Roman" w:cs="Times New Roman"/>
          <w:sz w:val="28"/>
          <w:szCs w:val="28"/>
        </w:rPr>
        <w:t xml:space="preserve">нів діяльності з підготовки </w:t>
      </w:r>
      <w:proofErr w:type="spellStart"/>
      <w:r w:rsidR="00952446" w:rsidRPr="000D060B">
        <w:rPr>
          <w:rFonts w:ascii="Times New Roman" w:hAnsi="Times New Roman" w:cs="Times New Roman"/>
          <w:sz w:val="28"/>
          <w:szCs w:val="28"/>
        </w:rPr>
        <w:t>проє</w:t>
      </w:r>
      <w:r w:rsidR="009C47C2" w:rsidRPr="000D060B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9C47C2" w:rsidRPr="000D060B">
        <w:rPr>
          <w:rFonts w:ascii="Times New Roman" w:hAnsi="Times New Roman" w:cs="Times New Roman"/>
          <w:sz w:val="28"/>
          <w:szCs w:val="28"/>
        </w:rPr>
        <w:t xml:space="preserve"> регуляторних актів у сфері </w:t>
      </w:r>
      <w:r w:rsidR="00952446" w:rsidRPr="000D060B">
        <w:rPr>
          <w:rFonts w:ascii="Times New Roman" w:hAnsi="Times New Roman" w:cs="Times New Roman"/>
          <w:sz w:val="28"/>
          <w:szCs w:val="28"/>
        </w:rPr>
        <w:t>господарської діяльності на 202</w:t>
      </w:r>
      <w:r w:rsidR="00BC07D5" w:rsidRPr="000D060B">
        <w:rPr>
          <w:rFonts w:ascii="Times New Roman" w:hAnsi="Times New Roman" w:cs="Times New Roman"/>
          <w:sz w:val="28"/>
          <w:szCs w:val="28"/>
        </w:rPr>
        <w:t>3</w:t>
      </w:r>
      <w:r w:rsidR="009C47C2" w:rsidRPr="000D060B">
        <w:rPr>
          <w:rFonts w:ascii="Times New Roman" w:hAnsi="Times New Roman" w:cs="Times New Roman"/>
          <w:sz w:val="28"/>
          <w:szCs w:val="28"/>
        </w:rPr>
        <w:t xml:space="preserve"> рік.</w:t>
      </w:r>
      <w:r w:rsidR="008E50A4" w:rsidRPr="000D06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51FA0" w14:textId="77777777" w:rsidR="00CE69EE" w:rsidRPr="000D060B" w:rsidRDefault="009C47C2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Для одержання зауважень і пропозицій від фізичних та юридичних осіб, їх об’єднань, розробники регуляторних </w:t>
      </w:r>
      <w:r w:rsidR="006263F2" w:rsidRPr="000D060B">
        <w:rPr>
          <w:rFonts w:ascii="Times New Roman" w:hAnsi="Times New Roman" w:cs="Times New Roman"/>
          <w:sz w:val="28"/>
          <w:szCs w:val="28"/>
        </w:rPr>
        <w:t xml:space="preserve">актів постійно оприлюднюють </w:t>
      </w:r>
      <w:proofErr w:type="spellStart"/>
      <w:r w:rsidR="006263F2" w:rsidRPr="000D060B">
        <w:rPr>
          <w:rFonts w:ascii="Times New Roman" w:hAnsi="Times New Roman" w:cs="Times New Roman"/>
          <w:sz w:val="28"/>
          <w:szCs w:val="28"/>
        </w:rPr>
        <w:t>проє</w:t>
      </w:r>
      <w:r w:rsidRPr="000D060B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0D060B">
        <w:rPr>
          <w:rFonts w:ascii="Times New Roman" w:hAnsi="Times New Roman" w:cs="Times New Roman"/>
          <w:sz w:val="28"/>
          <w:szCs w:val="28"/>
        </w:rPr>
        <w:t xml:space="preserve"> регуляторних актів з відповідними повідомленнями про оприлюднення та</w:t>
      </w:r>
      <w:r w:rsidR="002D22CB" w:rsidRPr="000D060B">
        <w:rPr>
          <w:rFonts w:ascii="Times New Roman" w:hAnsi="Times New Roman" w:cs="Times New Roman"/>
          <w:sz w:val="28"/>
          <w:szCs w:val="28"/>
        </w:rPr>
        <w:t xml:space="preserve"> аналізами регуляторного впливу. </w:t>
      </w:r>
    </w:p>
    <w:p w14:paraId="77341095" w14:textId="1A198311" w:rsidR="008C1ABF" w:rsidRPr="000D060B" w:rsidRDefault="009C47C2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З метою систематизації регуляторних актів, облдержадміністрацією ведеться реєстр регуляторних актів</w:t>
      </w:r>
      <w:r w:rsidR="005640F2" w:rsidRPr="000D060B">
        <w:rPr>
          <w:rFonts w:ascii="Times New Roman" w:hAnsi="Times New Roman" w:cs="Times New Roman"/>
          <w:sz w:val="28"/>
          <w:szCs w:val="28"/>
        </w:rPr>
        <w:t xml:space="preserve">. </w:t>
      </w:r>
      <w:r w:rsidR="00CE69EE" w:rsidRPr="000D060B">
        <w:rPr>
          <w:rFonts w:ascii="Times New Roman" w:hAnsi="Times New Roman" w:cs="Times New Roman"/>
          <w:sz w:val="28"/>
          <w:szCs w:val="28"/>
        </w:rPr>
        <w:t>Перелік прийнятих регуляторних актів Київською обласною державною адміністрацією</w:t>
      </w:r>
      <w:r w:rsidR="00CE69EE" w:rsidRPr="000D06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40F2" w:rsidRPr="000D060B">
        <w:rPr>
          <w:rFonts w:ascii="Times New Roman" w:hAnsi="Times New Roman" w:cs="Times New Roman"/>
          <w:sz w:val="28"/>
          <w:szCs w:val="28"/>
        </w:rPr>
        <w:t>затверджен</w:t>
      </w:r>
      <w:r w:rsidR="00CE69EE" w:rsidRPr="000D060B">
        <w:rPr>
          <w:rFonts w:ascii="Times New Roman" w:hAnsi="Times New Roman" w:cs="Times New Roman"/>
          <w:sz w:val="28"/>
          <w:szCs w:val="28"/>
        </w:rPr>
        <w:t>о</w:t>
      </w:r>
      <w:r w:rsidR="005640F2" w:rsidRPr="000D060B">
        <w:rPr>
          <w:rFonts w:ascii="Times New Roman" w:hAnsi="Times New Roman" w:cs="Times New Roman"/>
          <w:sz w:val="28"/>
          <w:szCs w:val="28"/>
        </w:rPr>
        <w:t xml:space="preserve"> розпорядженням Київської обласної державної адміністрації (Київської обласної військової адміністрації) від 07 грудня 2022 року № 911 «Про деякі питання реалізації державної регуляторної політики» </w:t>
      </w:r>
      <w:r w:rsidR="00CE69EE" w:rsidRPr="000D060B">
        <w:rPr>
          <w:rFonts w:ascii="Times New Roman" w:hAnsi="Times New Roman" w:cs="Times New Roman"/>
          <w:sz w:val="28"/>
          <w:szCs w:val="28"/>
        </w:rPr>
        <w:t xml:space="preserve">та </w:t>
      </w:r>
      <w:r w:rsidRPr="000D060B">
        <w:rPr>
          <w:rFonts w:ascii="Times New Roman" w:hAnsi="Times New Roman" w:cs="Times New Roman"/>
          <w:sz w:val="28"/>
          <w:szCs w:val="28"/>
        </w:rPr>
        <w:t>розміщено на офіційно</w:t>
      </w:r>
      <w:r w:rsidR="002432E2" w:rsidRPr="000D060B">
        <w:rPr>
          <w:rFonts w:ascii="Times New Roman" w:hAnsi="Times New Roman" w:cs="Times New Roman"/>
          <w:sz w:val="28"/>
          <w:szCs w:val="28"/>
        </w:rPr>
        <w:t>му</w:t>
      </w:r>
      <w:r w:rsidRPr="000D060B">
        <w:rPr>
          <w:rFonts w:ascii="Times New Roman" w:hAnsi="Times New Roman" w:cs="Times New Roman"/>
          <w:sz w:val="28"/>
          <w:szCs w:val="28"/>
        </w:rPr>
        <w:t xml:space="preserve"> веб-сайт</w:t>
      </w:r>
      <w:r w:rsidR="002432E2" w:rsidRPr="000D060B">
        <w:rPr>
          <w:rFonts w:ascii="Times New Roman" w:hAnsi="Times New Roman" w:cs="Times New Roman"/>
          <w:sz w:val="28"/>
          <w:szCs w:val="28"/>
        </w:rPr>
        <w:t>і</w:t>
      </w:r>
      <w:r w:rsidRPr="000D060B">
        <w:rPr>
          <w:rFonts w:ascii="Times New Roman" w:hAnsi="Times New Roman" w:cs="Times New Roman"/>
          <w:sz w:val="28"/>
          <w:szCs w:val="28"/>
        </w:rPr>
        <w:t xml:space="preserve"> облдержадміністрації</w:t>
      </w:r>
      <w:r w:rsidR="0005180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365D1B6F" w14:textId="0EB303BF" w:rsidR="006F06B3" w:rsidRPr="000D060B" w:rsidRDefault="00EA0CD9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Станом на 01.01.202</w:t>
      </w:r>
      <w:r w:rsidR="00CB430D" w:rsidRPr="000D060B">
        <w:rPr>
          <w:rFonts w:ascii="Times New Roman" w:hAnsi="Times New Roman" w:cs="Times New Roman"/>
          <w:sz w:val="28"/>
          <w:szCs w:val="28"/>
        </w:rPr>
        <w:t>2</w:t>
      </w:r>
      <w:r w:rsidRPr="000D060B">
        <w:rPr>
          <w:rFonts w:ascii="Times New Roman" w:hAnsi="Times New Roman" w:cs="Times New Roman"/>
          <w:sz w:val="28"/>
          <w:szCs w:val="28"/>
        </w:rPr>
        <w:t xml:space="preserve"> </w:t>
      </w:r>
      <w:r w:rsidR="00896EFD" w:rsidRPr="000D060B">
        <w:rPr>
          <w:rFonts w:ascii="Times New Roman" w:hAnsi="Times New Roman" w:cs="Times New Roman"/>
          <w:sz w:val="28"/>
          <w:szCs w:val="28"/>
        </w:rPr>
        <w:t xml:space="preserve">реєстр регуляторних актів облдержадміністрації </w:t>
      </w:r>
      <w:r w:rsidRPr="000D060B">
        <w:rPr>
          <w:rFonts w:ascii="Times New Roman" w:hAnsi="Times New Roman" w:cs="Times New Roman"/>
          <w:sz w:val="28"/>
          <w:szCs w:val="28"/>
        </w:rPr>
        <w:t>налічув</w:t>
      </w:r>
      <w:r w:rsidR="00CB430D" w:rsidRPr="000D060B">
        <w:rPr>
          <w:rFonts w:ascii="Times New Roman" w:hAnsi="Times New Roman" w:cs="Times New Roman"/>
          <w:sz w:val="28"/>
          <w:szCs w:val="28"/>
        </w:rPr>
        <w:t>ав</w:t>
      </w:r>
      <w:r w:rsidRPr="000D060B">
        <w:rPr>
          <w:rFonts w:ascii="Times New Roman" w:hAnsi="Times New Roman" w:cs="Times New Roman"/>
          <w:sz w:val="28"/>
          <w:szCs w:val="28"/>
        </w:rPr>
        <w:t xml:space="preserve"> </w:t>
      </w:r>
      <w:r w:rsidR="000060A5" w:rsidRPr="000D060B">
        <w:rPr>
          <w:rFonts w:ascii="Times New Roman" w:hAnsi="Times New Roman" w:cs="Times New Roman"/>
          <w:sz w:val="28"/>
          <w:szCs w:val="28"/>
        </w:rPr>
        <w:t>8</w:t>
      </w:r>
      <w:r w:rsidRPr="000D060B">
        <w:rPr>
          <w:rFonts w:ascii="Times New Roman" w:hAnsi="Times New Roman" w:cs="Times New Roman"/>
          <w:sz w:val="28"/>
          <w:szCs w:val="28"/>
        </w:rPr>
        <w:t xml:space="preserve"> регуляторних актів, на 01.01.202</w:t>
      </w:r>
      <w:r w:rsidR="00CB430D" w:rsidRPr="000D060B">
        <w:rPr>
          <w:rFonts w:ascii="Times New Roman" w:hAnsi="Times New Roman" w:cs="Times New Roman"/>
          <w:sz w:val="28"/>
          <w:szCs w:val="28"/>
        </w:rPr>
        <w:t>3</w:t>
      </w:r>
      <w:r w:rsidRPr="000D060B">
        <w:rPr>
          <w:rFonts w:ascii="Times New Roman" w:hAnsi="Times New Roman" w:cs="Times New Roman"/>
          <w:sz w:val="28"/>
          <w:szCs w:val="28"/>
        </w:rPr>
        <w:t xml:space="preserve"> –</w:t>
      </w:r>
      <w:r w:rsidR="000060A5" w:rsidRPr="000D060B">
        <w:rPr>
          <w:rFonts w:ascii="Times New Roman" w:hAnsi="Times New Roman" w:cs="Times New Roman"/>
          <w:sz w:val="28"/>
          <w:szCs w:val="28"/>
        </w:rPr>
        <w:t xml:space="preserve"> 8</w:t>
      </w:r>
      <w:r w:rsidRPr="000D060B">
        <w:rPr>
          <w:rFonts w:ascii="Times New Roman" w:hAnsi="Times New Roman" w:cs="Times New Roman"/>
          <w:sz w:val="28"/>
          <w:szCs w:val="28"/>
        </w:rPr>
        <w:t xml:space="preserve"> актів. </w:t>
      </w:r>
    </w:p>
    <w:p w14:paraId="7F2DDF67" w14:textId="3FD0162B" w:rsidR="00D808DE" w:rsidRPr="00273687" w:rsidRDefault="00D808DE" w:rsidP="00D808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>Протягом 20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22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 Київській області прийнято 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46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>регуляторни</w:t>
      </w:r>
      <w:proofErr w:type="spellEnd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актів 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органами </w:t>
      </w:r>
      <w:proofErr w:type="spellStart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місцевого</w:t>
      </w:r>
      <w:proofErr w:type="spellEnd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Регуляторні акти органами виконавчої влади протягом 2022 року не приймалися. Наведена інформація свідчить, що більша частина регулювань в області впроваджувалась 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органами </w:t>
      </w:r>
      <w:proofErr w:type="spellStart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місцевого</w:t>
      </w:r>
      <w:proofErr w:type="spellEnd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273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відсотків.</w:t>
      </w:r>
    </w:p>
    <w:p w14:paraId="2183D7B0" w14:textId="59F63934" w:rsidR="00223D09" w:rsidRDefault="00223D09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FD578E" w14:textId="77777777" w:rsidR="00223D09" w:rsidRPr="000D060B" w:rsidRDefault="00223D09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AFF6E" w14:textId="086AE9E4" w:rsidR="00C104E6" w:rsidRPr="000D060B" w:rsidRDefault="004D607C" w:rsidP="000D060B">
      <w:pPr>
        <w:pStyle w:val="a3"/>
        <w:ind w:firstLine="567"/>
        <w:jc w:val="both"/>
        <w:rPr>
          <w:sz w:val="28"/>
          <w:szCs w:val="28"/>
          <w:lang w:val="uk-UA"/>
        </w:rPr>
      </w:pPr>
      <w:r w:rsidRPr="000D060B">
        <w:rPr>
          <w:color w:val="auto"/>
          <w:sz w:val="28"/>
          <w:szCs w:val="28"/>
          <w:lang w:val="uk-UA"/>
        </w:rPr>
        <w:lastRenderedPageBreak/>
        <w:t>Проведення базового, повторного та періодичного відстеження результативності регуляторних актів здійснюється у відповідності до План</w:t>
      </w:r>
      <w:r w:rsidR="00C104E6" w:rsidRPr="000D060B">
        <w:rPr>
          <w:color w:val="auto"/>
          <w:sz w:val="28"/>
          <w:szCs w:val="28"/>
          <w:lang w:val="uk-UA"/>
        </w:rPr>
        <w:t>у</w:t>
      </w:r>
      <w:r w:rsidRPr="000D060B">
        <w:rPr>
          <w:color w:val="auto"/>
          <w:sz w:val="28"/>
          <w:szCs w:val="28"/>
          <w:lang w:val="uk-UA"/>
        </w:rPr>
        <w:t>-графік</w:t>
      </w:r>
      <w:r w:rsidR="00C104E6" w:rsidRPr="000D060B">
        <w:rPr>
          <w:color w:val="auto"/>
          <w:sz w:val="28"/>
          <w:szCs w:val="28"/>
          <w:lang w:val="uk-UA"/>
        </w:rPr>
        <w:t>у</w:t>
      </w:r>
      <w:r w:rsidRPr="000D060B">
        <w:rPr>
          <w:color w:val="auto"/>
          <w:sz w:val="28"/>
          <w:szCs w:val="28"/>
          <w:lang w:val="uk-UA"/>
        </w:rPr>
        <w:t xml:space="preserve"> проведення заходів з відстеження результативності прийнятих регуляторних актів</w:t>
      </w:r>
      <w:r w:rsidR="00C104E6" w:rsidRPr="000D060B">
        <w:rPr>
          <w:color w:val="auto"/>
          <w:sz w:val="28"/>
          <w:szCs w:val="28"/>
          <w:lang w:val="uk-UA"/>
        </w:rPr>
        <w:t xml:space="preserve"> </w:t>
      </w:r>
      <w:r w:rsidR="00C104E6" w:rsidRPr="000D060B">
        <w:rPr>
          <w:sz w:val="28"/>
          <w:szCs w:val="28"/>
          <w:lang w:val="uk-UA"/>
        </w:rPr>
        <w:t xml:space="preserve">Київською обласною державною адміністрацією, що затверджений </w:t>
      </w:r>
      <w:r w:rsidR="00C104E6" w:rsidRPr="000D060B">
        <w:rPr>
          <w:sz w:val="28"/>
          <w:szCs w:val="28"/>
          <w:lang w:val="uk-UA" w:eastAsia="uk-UA"/>
        </w:rPr>
        <w:t xml:space="preserve">розпорядженням Київської обласної державної адміністрації (Київської обласної військової адміністрації) від 07 грудня 2022 року № 911 «Про деякі питання реалізації державної регуляторної політики» та </w:t>
      </w:r>
      <w:r w:rsidR="00C104E6" w:rsidRPr="000D060B">
        <w:rPr>
          <w:sz w:val="28"/>
          <w:szCs w:val="28"/>
          <w:lang w:val="uk-UA"/>
        </w:rPr>
        <w:t>розміщений на офіційному веб-сайті облдержадміністрації</w:t>
      </w:r>
      <w:r w:rsidR="00640404">
        <w:rPr>
          <w:sz w:val="28"/>
          <w:szCs w:val="28"/>
          <w:lang w:val="uk-UA"/>
        </w:rPr>
        <w:t xml:space="preserve">. </w:t>
      </w:r>
    </w:p>
    <w:p w14:paraId="0EC1D1AF" w14:textId="054DB7AA" w:rsidR="001268B9" w:rsidRPr="001268B9" w:rsidRDefault="004D607C" w:rsidP="001268B9">
      <w:pPr>
        <w:pStyle w:val="a3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D060B">
        <w:rPr>
          <w:sz w:val="28"/>
          <w:szCs w:val="28"/>
          <w:lang w:val="uk-UA"/>
        </w:rPr>
        <w:t xml:space="preserve">Відповідно до статті 26 Закону оприлюднено на офіційному веб-сайті облдержадміністрації у модулі «Відстеження результативності» розділу «Регуляторна </w:t>
      </w:r>
      <w:r w:rsidR="006632CE" w:rsidRPr="000D060B">
        <w:rPr>
          <w:sz w:val="28"/>
          <w:szCs w:val="28"/>
          <w:lang w:val="uk-UA"/>
        </w:rPr>
        <w:t>діяльність</w:t>
      </w:r>
      <w:r w:rsidRPr="000D060B">
        <w:rPr>
          <w:sz w:val="28"/>
          <w:szCs w:val="28"/>
          <w:lang w:val="uk-UA"/>
        </w:rPr>
        <w:t xml:space="preserve">» Звіт про результати періодичного відстеження регуляторного </w:t>
      </w:r>
      <w:proofErr w:type="spellStart"/>
      <w:r w:rsidRPr="000D060B">
        <w:rPr>
          <w:sz w:val="28"/>
          <w:szCs w:val="28"/>
          <w:lang w:val="uk-UA"/>
        </w:rPr>
        <w:t>акта</w:t>
      </w:r>
      <w:proofErr w:type="spellEnd"/>
      <w:r w:rsidRPr="000D060B">
        <w:rPr>
          <w:sz w:val="28"/>
          <w:szCs w:val="28"/>
          <w:lang w:val="uk-UA"/>
        </w:rPr>
        <w:t xml:space="preserve"> – </w:t>
      </w:r>
      <w:r w:rsidR="00B6528D" w:rsidRPr="000D060B">
        <w:rPr>
          <w:bCs/>
          <w:sz w:val="28"/>
          <w:szCs w:val="28"/>
          <w:lang w:val="uk-UA"/>
        </w:rPr>
        <w:t>розпорядження Київської обласної державної адміністрації від 20 серпня 2018 року № 464 «Про затвердження Порядку видачі дозволів на розміщення зовнішньої реклами поза межами населених пунктів Київської області»</w:t>
      </w:r>
      <w:r w:rsidR="005C071F" w:rsidRPr="000D060B">
        <w:rPr>
          <w:bCs/>
          <w:sz w:val="28"/>
          <w:szCs w:val="28"/>
          <w:lang w:val="uk-UA"/>
        </w:rPr>
        <w:t>,</w:t>
      </w:r>
      <w:r w:rsidR="00B6528D" w:rsidRPr="000D060B">
        <w:rPr>
          <w:bCs/>
          <w:sz w:val="28"/>
          <w:szCs w:val="28"/>
          <w:lang w:val="uk-UA"/>
        </w:rPr>
        <w:t xml:space="preserve"> </w:t>
      </w:r>
      <w:r w:rsidR="005C071F" w:rsidRPr="000D060B">
        <w:rPr>
          <w:sz w:val="28"/>
          <w:szCs w:val="28"/>
          <w:lang w:val="uk-UA"/>
        </w:rPr>
        <w:t xml:space="preserve">зареєстрованого в Київському обласному управлінні юстиції </w:t>
      </w:r>
      <w:r w:rsidR="00263806" w:rsidRPr="000D060B">
        <w:rPr>
          <w:sz w:val="28"/>
          <w:szCs w:val="28"/>
          <w:lang w:val="uk-UA"/>
        </w:rPr>
        <w:t xml:space="preserve">від 12 вересня 2018 року за № 112/1139. </w:t>
      </w:r>
      <w:r w:rsidRPr="000D060B">
        <w:rPr>
          <w:sz w:val="28"/>
          <w:szCs w:val="28"/>
          <w:lang w:val="uk-UA"/>
        </w:rPr>
        <w:t xml:space="preserve">Про проведену роботу поінформовано </w:t>
      </w:r>
      <w:r w:rsidRPr="001268B9">
        <w:rPr>
          <w:color w:val="000000" w:themeColor="text1"/>
          <w:sz w:val="28"/>
          <w:szCs w:val="28"/>
          <w:lang w:val="uk-UA"/>
        </w:rPr>
        <w:t xml:space="preserve">Державну регуляторну службу України. </w:t>
      </w:r>
    </w:p>
    <w:p w14:paraId="0DBE82F5" w14:textId="519E3A09" w:rsidR="00082D1B" w:rsidRPr="001268B9" w:rsidRDefault="001268B9" w:rsidP="001268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68 </w:t>
      </w:r>
      <w:proofErr w:type="spellStart"/>
      <w:r w:rsidRPr="001268B9">
        <w:rPr>
          <w:rFonts w:ascii="Times New Roman" w:hAnsi="Times New Roman" w:cs="Times New Roman"/>
          <w:color w:val="000000" w:themeColor="text1"/>
          <w:sz w:val="28"/>
          <w:szCs w:val="28"/>
        </w:rPr>
        <w:t>відстежень</w:t>
      </w:r>
      <w:proofErr w:type="spellEnd"/>
      <w:r w:rsidRPr="0012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результативності регуляторних актів органів місцевого самоврядування, у тому числі: 33 базових, 20 повторних та</w:t>
      </w:r>
      <w:r w:rsidRPr="001268B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15</w:t>
      </w:r>
      <w:r w:rsidRPr="00126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періодичних. </w:t>
      </w:r>
    </w:p>
    <w:p w14:paraId="6F764C84" w14:textId="46ABD72C" w:rsidR="00CB430D" w:rsidRPr="000D060B" w:rsidRDefault="00941D6C" w:rsidP="000D060B">
      <w:pPr>
        <w:pStyle w:val="a3"/>
        <w:ind w:firstLine="567"/>
        <w:jc w:val="both"/>
        <w:rPr>
          <w:sz w:val="28"/>
          <w:szCs w:val="28"/>
          <w:lang w:val="uk-UA"/>
        </w:rPr>
      </w:pPr>
      <w:r w:rsidRPr="001268B9">
        <w:rPr>
          <w:color w:val="000000" w:themeColor="text1"/>
          <w:sz w:val="28"/>
          <w:szCs w:val="28"/>
          <w:lang w:val="uk-UA"/>
        </w:rPr>
        <w:t xml:space="preserve">Протягом 2022 </w:t>
      </w:r>
      <w:r w:rsidRPr="000D060B">
        <w:rPr>
          <w:sz w:val="28"/>
          <w:szCs w:val="28"/>
          <w:lang w:val="uk-UA"/>
        </w:rPr>
        <w:t>року</w:t>
      </w:r>
      <w:r w:rsidR="00716190">
        <w:rPr>
          <w:sz w:val="28"/>
          <w:szCs w:val="28"/>
          <w:lang w:val="uk-UA"/>
        </w:rPr>
        <w:t xml:space="preserve"> </w:t>
      </w:r>
      <w:r w:rsidR="006D0E8E" w:rsidRPr="000D060B">
        <w:rPr>
          <w:sz w:val="28"/>
          <w:szCs w:val="28"/>
          <w:lang w:val="uk-UA"/>
        </w:rPr>
        <w:t>Д</w:t>
      </w:r>
      <w:r w:rsidR="00DC5C31" w:rsidRPr="000D060B">
        <w:rPr>
          <w:sz w:val="28"/>
          <w:szCs w:val="28"/>
          <w:lang w:val="uk-UA"/>
        </w:rPr>
        <w:t xml:space="preserve">епартаментом </w:t>
      </w:r>
      <w:r w:rsidR="006D0E8E" w:rsidRPr="000D060B">
        <w:rPr>
          <w:sz w:val="28"/>
          <w:szCs w:val="28"/>
          <w:lang w:val="uk-UA"/>
        </w:rPr>
        <w:t xml:space="preserve">здійснено перевірку органів місцевого самоврядування Бориспільського та Броварського районів щодо дотримання виконання вимог Закону України «Про засади державної регуляторної політики». </w:t>
      </w:r>
    </w:p>
    <w:p w14:paraId="48122267" w14:textId="3A9191F8" w:rsidR="008F3E06" w:rsidRPr="000D060B" w:rsidRDefault="00B93AB6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За результатами перевірки керівникам </w:t>
      </w:r>
      <w:r w:rsidR="00A02B98" w:rsidRPr="000D060B">
        <w:rPr>
          <w:rFonts w:ascii="Times New Roman" w:hAnsi="Times New Roman" w:cs="Times New Roman"/>
          <w:sz w:val="28"/>
          <w:szCs w:val="28"/>
        </w:rPr>
        <w:t xml:space="preserve">4-ох </w:t>
      </w:r>
      <w:r w:rsidRPr="000D060B">
        <w:rPr>
          <w:rFonts w:ascii="Times New Roman" w:hAnsi="Times New Roman" w:cs="Times New Roman"/>
          <w:sz w:val="28"/>
          <w:szCs w:val="28"/>
        </w:rPr>
        <w:t>регуляторних органів місцевого само</w:t>
      </w:r>
      <w:r w:rsidR="00A02B98" w:rsidRPr="000D060B">
        <w:rPr>
          <w:rFonts w:ascii="Times New Roman" w:hAnsi="Times New Roman" w:cs="Times New Roman"/>
          <w:sz w:val="28"/>
          <w:szCs w:val="28"/>
        </w:rPr>
        <w:t>в</w:t>
      </w:r>
      <w:r w:rsidRPr="000D060B">
        <w:rPr>
          <w:rFonts w:ascii="Times New Roman" w:hAnsi="Times New Roman" w:cs="Times New Roman"/>
          <w:sz w:val="28"/>
          <w:szCs w:val="28"/>
        </w:rPr>
        <w:t xml:space="preserve">рядування рекомендовано здійснювати постійний контроль за забезпеченням розміщення </w:t>
      </w:r>
      <w:r w:rsidR="00EF71EE" w:rsidRPr="000D060B">
        <w:rPr>
          <w:rFonts w:ascii="Times New Roman" w:hAnsi="Times New Roman" w:cs="Times New Roman"/>
          <w:sz w:val="28"/>
          <w:szCs w:val="28"/>
        </w:rPr>
        <w:t xml:space="preserve">актуальної </w:t>
      </w:r>
      <w:r w:rsidRPr="000D060B">
        <w:rPr>
          <w:rFonts w:ascii="Times New Roman" w:hAnsi="Times New Roman" w:cs="Times New Roman"/>
          <w:sz w:val="28"/>
          <w:szCs w:val="28"/>
        </w:rPr>
        <w:t>інформації щодо здійснення регуляторної політики</w:t>
      </w:r>
      <w:r w:rsidR="00A02B98" w:rsidRPr="000D060B">
        <w:rPr>
          <w:rFonts w:ascii="Times New Roman" w:hAnsi="Times New Roman" w:cs="Times New Roman"/>
          <w:sz w:val="28"/>
          <w:szCs w:val="28"/>
        </w:rPr>
        <w:t xml:space="preserve"> на офіційних веб сайтах сільських, селищних рад в розділі «Регуляторна політика». </w:t>
      </w:r>
    </w:p>
    <w:p w14:paraId="06E9DAD8" w14:textId="77777777" w:rsidR="008F3E06" w:rsidRPr="000D060B" w:rsidRDefault="008F3E06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З метою забезпечення єдиного підходу до підготовки </w:t>
      </w:r>
      <w:proofErr w:type="spellStart"/>
      <w:r w:rsidRPr="000D060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D060B">
        <w:rPr>
          <w:rFonts w:ascii="Times New Roman" w:hAnsi="Times New Roman" w:cs="Times New Roman"/>
          <w:sz w:val="28"/>
          <w:szCs w:val="28"/>
        </w:rPr>
        <w:t xml:space="preserve"> регуляторних актів та прийняття їх тільки після проходження всіх регуляторних процедур, визначених Законом, облдержадміністрація постійно та систематично надавала розробникам регуляторних актів, суб’єктам господарювання практичну допомогу з питань реалізації державної регуляторної політики у сфері господарської діяльності. </w:t>
      </w:r>
    </w:p>
    <w:p w14:paraId="65708367" w14:textId="122AD977" w:rsidR="008F3E06" w:rsidRDefault="008F3E06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У процесі регуляторної діяльності постійно відбувається взаємодія з суб’єктами господарювання, їх об’єднаннями, науковими установами та консультативно-дорадчими органами, проводиться систематизація регуляторних актів, перегляд регуляторних актів та виконання заходів з відстеження їх результативності. </w:t>
      </w:r>
    </w:p>
    <w:p w14:paraId="10E571B7" w14:textId="288A9C93" w:rsidR="00FB2E0B" w:rsidRPr="00FB2E0B" w:rsidRDefault="00FB2E0B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0B">
        <w:rPr>
          <w:rFonts w:ascii="Times New Roman" w:hAnsi="Times New Roman" w:cs="Times New Roman"/>
          <w:sz w:val="28"/>
          <w:szCs w:val="28"/>
        </w:rPr>
        <w:t xml:space="preserve">24 лютого 2022 року у зв'язку з військовою агресією російської федерації проти України, на підставі пропозиції Ради національної безпеки і оборони України, відповідно до пункту 20 частини першої статті 106 Конституції </w:t>
      </w:r>
      <w:r w:rsidRPr="00FB2E0B">
        <w:rPr>
          <w:rFonts w:ascii="Times New Roman" w:hAnsi="Times New Roman" w:cs="Times New Roman"/>
          <w:sz w:val="28"/>
          <w:szCs w:val="28"/>
        </w:rPr>
        <w:lastRenderedPageBreak/>
        <w:t>України, Закону України «Про правовий режим воєнного стану» в Україні Указом Президента України від 24</w:t>
      </w:r>
      <w:r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FB2E0B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Pr="00FB2E0B">
        <w:rPr>
          <w:rFonts w:ascii="Times New Roman" w:hAnsi="Times New Roman" w:cs="Times New Roman"/>
          <w:sz w:val="28"/>
          <w:szCs w:val="28"/>
        </w:rPr>
        <w:t xml:space="preserve">№ 64 введено воєнний стан. </w:t>
      </w:r>
    </w:p>
    <w:p w14:paraId="42BAC52B" w14:textId="77777777" w:rsidR="00FB2E0B" w:rsidRDefault="000C01D9" w:rsidP="000C0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D9">
        <w:rPr>
          <w:rFonts w:ascii="Times New Roman" w:hAnsi="Times New Roman" w:cs="Times New Roman"/>
          <w:sz w:val="28"/>
          <w:szCs w:val="28"/>
        </w:rPr>
        <w:t xml:space="preserve">В умовах дії воєнного стану одним із пріоритетів роботи Київської обласної військової адміністрації залишається підтримка розвитку мікро-, малого та середнього підприємництва. </w:t>
      </w:r>
    </w:p>
    <w:p w14:paraId="1AD0D25D" w14:textId="28BBABCE" w:rsidR="000C01D9" w:rsidRDefault="000C01D9" w:rsidP="000C0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D9">
        <w:rPr>
          <w:rFonts w:ascii="Times New Roman" w:hAnsi="Times New Roman" w:cs="Times New Roman"/>
          <w:sz w:val="28"/>
          <w:szCs w:val="28"/>
        </w:rPr>
        <w:t xml:space="preserve">Запроваджено постійний діалог між владою та бізнес-спільнотою шляхом зустрічей з представниками громадських об’єднань підприємців області, в ході яких на порядку денному обговорюються питання щодо створення умов для покращення бізнес-клімату, при потребі на обговорення виносяться й </w:t>
      </w:r>
      <w:proofErr w:type="spellStart"/>
      <w:r w:rsidRPr="000C01D9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0C01D9">
        <w:rPr>
          <w:rFonts w:ascii="Times New Roman" w:hAnsi="Times New Roman" w:cs="Times New Roman"/>
          <w:sz w:val="28"/>
          <w:szCs w:val="28"/>
        </w:rPr>
        <w:t xml:space="preserve"> регуляторних актів. </w:t>
      </w:r>
    </w:p>
    <w:p w14:paraId="66410098" w14:textId="2CE9A7A3" w:rsidR="00320356" w:rsidRPr="000D060B" w:rsidRDefault="00320356" w:rsidP="000C0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звітного періоду проведено чотири зустрічі з представниками бізнесу Київщини в рамках започаткованого діалогу </w:t>
      </w:r>
      <w:r w:rsidRPr="000D060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«Влада-Бізнес. Разом до перемоги» </w:t>
      </w:r>
      <w:r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ініційованого в 2022 році очільником Київської області Олексієм </w:t>
      </w:r>
      <w:proofErr w:type="spellStart"/>
      <w:r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Кулебою</w:t>
      </w:r>
      <w:proofErr w:type="spellEnd"/>
      <w:r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AC7B3D" w14:textId="77777777" w:rsidR="00320356" w:rsidRPr="000D060B" w:rsidRDefault="00320356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обговорення нагальних питань долучилися представники Фонду розвитку підприємництва, провідних банків України, легкої промисловості, меблевої галузі, Центру зайнятості Київської області. </w:t>
      </w:r>
    </w:p>
    <w:p w14:paraId="449EE487" w14:textId="5E892CB1" w:rsidR="00BB4CCE" w:rsidRPr="000D060B" w:rsidRDefault="00320356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ході зустрічей </w:t>
      </w:r>
      <w:r w:rsidR="00337C05"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обговорено</w:t>
      </w:r>
      <w:r w:rsidRPr="000D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проблеми з якими зіткнувся бізнес в умовах війни та питання щодо дієвих фінансових інструментів підтримки бізнесу в Київській області. </w:t>
      </w:r>
    </w:p>
    <w:p w14:paraId="7B01914E" w14:textId="40FB592F" w:rsidR="00924FFC" w:rsidRPr="000D060B" w:rsidRDefault="00924FFC" w:rsidP="000D060B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З метою </w:t>
      </w:r>
      <w:r w:rsidRPr="000D060B">
        <w:rPr>
          <w:rFonts w:ascii="Times New Roman" w:eastAsia="MS Mincho" w:hAnsi="Times New Roman" w:cs="Times New Roman"/>
          <w:sz w:val="28"/>
          <w:szCs w:val="28"/>
          <w:lang w:eastAsia="ru-RU"/>
        </w:rPr>
        <w:t>сприяння реалізації державної політики у сфері розвитку підприємництва і регуляторної політики в Київській області створено Координаційну раду з питань розвитку підприємництва при Київській обласній державній адміністрації</w:t>
      </w:r>
      <w:r w:rsidR="00D7400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0D06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7C802259" w14:textId="1E0D9A81" w:rsidR="0060396B" w:rsidRDefault="006C492B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Державна регуляторна політика є одним із важливих факторів, які забезпечують створення стимулюючих умов для розвитку підприємництва. </w:t>
      </w:r>
    </w:p>
    <w:p w14:paraId="0AECFC4A" w14:textId="287D970C" w:rsidR="000C01D9" w:rsidRPr="00CD3B49" w:rsidRDefault="00CD3B49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49">
        <w:rPr>
          <w:rFonts w:ascii="Times New Roman" w:hAnsi="Times New Roman" w:cs="Times New Roman"/>
          <w:sz w:val="28"/>
          <w:szCs w:val="28"/>
        </w:rPr>
        <w:t>В</w:t>
      </w:r>
      <w:r w:rsidR="000C01D9" w:rsidRPr="00CD3B49">
        <w:rPr>
          <w:rFonts w:ascii="Times New Roman" w:hAnsi="Times New Roman" w:cs="Times New Roman"/>
          <w:sz w:val="28"/>
          <w:szCs w:val="28"/>
        </w:rPr>
        <w:t xml:space="preserve"> Київській області з метою забезпечення подальшого сталого економічного зростання і соціального розвитку регіону діє Комплексна програма «Конкурентоспроможна Київщина» на 2022-2024 роки</w:t>
      </w:r>
      <w:r w:rsidRPr="00CD3B49">
        <w:rPr>
          <w:rFonts w:ascii="Times New Roman" w:hAnsi="Times New Roman" w:cs="Times New Roman"/>
          <w:sz w:val="28"/>
          <w:szCs w:val="28"/>
        </w:rPr>
        <w:t xml:space="preserve"> (далі – Програма), затверджена рішенням Київської обласної ради від 16 лютого 2022 року </w:t>
      </w:r>
      <w:r w:rsidR="007162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D3B49">
        <w:rPr>
          <w:rFonts w:ascii="Times New Roman" w:hAnsi="Times New Roman" w:cs="Times New Roman"/>
          <w:sz w:val="28"/>
          <w:szCs w:val="28"/>
        </w:rPr>
        <w:t>№</w:t>
      </w:r>
      <w:r w:rsidR="00716250">
        <w:rPr>
          <w:rFonts w:ascii="Times New Roman" w:hAnsi="Times New Roman" w:cs="Times New Roman"/>
          <w:sz w:val="28"/>
          <w:szCs w:val="28"/>
        </w:rPr>
        <w:t xml:space="preserve"> </w:t>
      </w:r>
      <w:r w:rsidRPr="00CD3B49">
        <w:rPr>
          <w:rFonts w:ascii="Times New Roman" w:hAnsi="Times New Roman" w:cs="Times New Roman"/>
          <w:sz w:val="28"/>
          <w:szCs w:val="28"/>
        </w:rPr>
        <w:t xml:space="preserve">213-09-VІII. </w:t>
      </w:r>
    </w:p>
    <w:p w14:paraId="685F0BB2" w14:textId="5C917BD0" w:rsidR="00DC3763" w:rsidRDefault="006C492B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Заходи щодо реалізації державної регуляторної політики включені до </w:t>
      </w:r>
      <w:r w:rsidR="00CD3B49">
        <w:rPr>
          <w:rFonts w:ascii="Times New Roman" w:hAnsi="Times New Roman" w:cs="Times New Roman"/>
          <w:sz w:val="28"/>
          <w:szCs w:val="28"/>
        </w:rPr>
        <w:t>П</w:t>
      </w:r>
      <w:r w:rsidR="00A83A3C" w:rsidRPr="000D060B">
        <w:rPr>
          <w:rFonts w:ascii="Times New Roman" w:hAnsi="Times New Roman" w:cs="Times New Roman"/>
          <w:sz w:val="28"/>
          <w:szCs w:val="28"/>
        </w:rPr>
        <w:t>рограм</w:t>
      </w:r>
      <w:r w:rsidR="0060396B" w:rsidRPr="000D060B">
        <w:rPr>
          <w:rFonts w:ascii="Times New Roman" w:hAnsi="Times New Roman" w:cs="Times New Roman"/>
          <w:sz w:val="28"/>
          <w:szCs w:val="28"/>
        </w:rPr>
        <w:t>и</w:t>
      </w:r>
      <w:r w:rsidR="00A83A3C" w:rsidRPr="000D060B">
        <w:rPr>
          <w:rFonts w:ascii="Times New Roman" w:hAnsi="Times New Roman" w:cs="Times New Roman"/>
          <w:sz w:val="28"/>
          <w:szCs w:val="28"/>
        </w:rPr>
        <w:t xml:space="preserve"> </w:t>
      </w:r>
      <w:r w:rsidRPr="000D060B">
        <w:rPr>
          <w:rFonts w:ascii="Times New Roman" w:hAnsi="Times New Roman" w:cs="Times New Roman"/>
          <w:sz w:val="28"/>
          <w:szCs w:val="28"/>
        </w:rPr>
        <w:t xml:space="preserve">та направлені на вдосконалення правового регулювання підприємницької діяльності шляхом недопущення запровадження необґрунтованих та неефективних регулювань, які б могли призвести до погіршення умов провадження господарської діяльності. </w:t>
      </w:r>
    </w:p>
    <w:p w14:paraId="5B3DD869" w14:textId="6693B5E4" w:rsidR="00452A13" w:rsidRPr="00452A13" w:rsidRDefault="00452A13" w:rsidP="00452A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ряду завдань Програми протягом 2022 року не здійснювалося у зв’язку з введенням воєнного стану в Україні Указом Президента України </w:t>
      </w:r>
      <w:r w:rsidR="0032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52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</w:t>
      </w:r>
      <w:r w:rsidRPr="0045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45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64/2022. </w:t>
      </w:r>
    </w:p>
    <w:p w14:paraId="0F6D9C29" w14:textId="7C72EF1F" w:rsidR="005349BC" w:rsidRPr="006D3BF1" w:rsidRDefault="00215CE8" w:rsidP="00EC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bCs/>
          <w:sz w:val="28"/>
          <w:szCs w:val="28"/>
        </w:rPr>
        <w:t xml:space="preserve">Зазначимо, що з метою виконання протокольних рішень Державної регуляторної служби України за результатами </w:t>
      </w:r>
      <w:r w:rsidRPr="000D060B">
        <w:rPr>
          <w:rStyle w:val="a4"/>
          <w:rFonts w:ascii="Times New Roman" w:hAnsi="Times New Roman" w:cs="Times New Roman"/>
          <w:b w:val="0"/>
          <w:sz w:val="28"/>
          <w:szCs w:val="28"/>
        </w:rPr>
        <w:t>засідання міжрегіональної робочої групи при Державній регуляторній службі України (далі – ДРС) з питань здійснення державної регуляторної політики та проведення дерегуляції у сфері господарської діяльності на регіональному та місцевому рівнях</w:t>
      </w:r>
      <w:r w:rsidRPr="000D060B">
        <w:rPr>
          <w:rFonts w:ascii="Times New Roman" w:hAnsi="Times New Roman" w:cs="Times New Roman"/>
          <w:bCs/>
          <w:sz w:val="28"/>
          <w:szCs w:val="28"/>
        </w:rPr>
        <w:t xml:space="preserve"> протягом 202</w:t>
      </w:r>
      <w:r w:rsidR="007E529A" w:rsidRPr="000D060B">
        <w:rPr>
          <w:rFonts w:ascii="Times New Roman" w:hAnsi="Times New Roman" w:cs="Times New Roman"/>
          <w:bCs/>
          <w:sz w:val="28"/>
          <w:szCs w:val="28"/>
        </w:rPr>
        <w:t>2</w:t>
      </w:r>
      <w:r w:rsidRPr="000D06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060B">
        <w:rPr>
          <w:rFonts w:ascii="Times New Roman" w:hAnsi="Times New Roman" w:cs="Times New Roman"/>
          <w:bCs/>
          <w:sz w:val="28"/>
          <w:szCs w:val="28"/>
        </w:rPr>
        <w:lastRenderedPageBreak/>
        <w:t>року згідно встановлених термінів інформування облдержадміністрацією надавалась інформація Д</w:t>
      </w:r>
      <w:r w:rsidR="005C329E">
        <w:rPr>
          <w:rFonts w:ascii="Times New Roman" w:hAnsi="Times New Roman" w:cs="Times New Roman"/>
          <w:bCs/>
          <w:sz w:val="28"/>
          <w:szCs w:val="28"/>
        </w:rPr>
        <w:t>ержавній регуляторній службі України</w:t>
      </w:r>
      <w:r w:rsidRPr="000D060B">
        <w:rPr>
          <w:rFonts w:ascii="Times New Roman" w:hAnsi="Times New Roman" w:cs="Times New Roman"/>
          <w:bCs/>
          <w:sz w:val="28"/>
          <w:szCs w:val="28"/>
        </w:rPr>
        <w:t xml:space="preserve"> щодо</w:t>
      </w:r>
      <w:r w:rsidR="00A50531" w:rsidRPr="000D06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060B">
        <w:rPr>
          <w:rFonts w:ascii="Times New Roman" w:hAnsi="Times New Roman" w:cs="Times New Roman"/>
          <w:sz w:val="28"/>
          <w:szCs w:val="28"/>
        </w:rPr>
        <w:t>здійснення перегляду діючих регуляторних актів органами виконавчої влади та органами місцевого самоврядування Київської області</w:t>
      </w:r>
      <w:r w:rsidR="007356D2" w:rsidRPr="000D06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3B1AAF" w14:textId="43F0BABD" w:rsidR="00A77816" w:rsidRDefault="00640232" w:rsidP="00A77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підстав, визначених у статті 11 Закону регуляторними органами області здійснено </w:t>
      </w:r>
      <w:r w:rsidR="006D3BF1" w:rsidRPr="00640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перегляд </w:t>
      </w:r>
      <w:r w:rsidR="006D3BF1" w:rsidRPr="006D3BF1">
        <w:rPr>
          <w:rFonts w:ascii="Times New Roman" w:hAnsi="Times New Roman" w:cs="Times New Roman"/>
          <w:sz w:val="28"/>
          <w:szCs w:val="28"/>
        </w:rPr>
        <w:t xml:space="preserve">регуляторних актів місцевими органами виконавчої влади та органами місцевого самоврядування області, зокрема: </w:t>
      </w:r>
    </w:p>
    <w:p w14:paraId="26A34533" w14:textId="5D4A9CA0" w:rsidR="00A77816" w:rsidRPr="00FC08B8" w:rsidRDefault="00A77816" w:rsidP="00FC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816">
        <w:rPr>
          <w:rFonts w:ascii="Times New Roman" w:hAnsi="Times New Roman" w:cs="Times New Roman"/>
          <w:sz w:val="28"/>
          <w:szCs w:val="28"/>
        </w:rPr>
        <w:t>9 регуляторних актів органами виконавчої влади</w:t>
      </w:r>
      <w:r>
        <w:rPr>
          <w:rFonts w:ascii="Times New Roman" w:hAnsi="Times New Roman" w:cs="Times New Roman"/>
          <w:sz w:val="28"/>
          <w:szCs w:val="28"/>
        </w:rPr>
        <w:t xml:space="preserve">, з них: 6 – </w:t>
      </w:r>
      <w:r w:rsidR="00F20BF7">
        <w:rPr>
          <w:rFonts w:ascii="Times New Roman" w:hAnsi="Times New Roman" w:cs="Times New Roman"/>
          <w:sz w:val="28"/>
          <w:szCs w:val="28"/>
        </w:rPr>
        <w:t xml:space="preserve">відповідно до висновків Державної регуляторної служби України </w:t>
      </w:r>
      <w:r w:rsidR="00B04144">
        <w:rPr>
          <w:rFonts w:ascii="Times New Roman" w:hAnsi="Times New Roman" w:cs="Times New Roman"/>
          <w:sz w:val="28"/>
          <w:szCs w:val="28"/>
        </w:rPr>
        <w:t xml:space="preserve">визнано такими, що </w:t>
      </w:r>
      <w:r>
        <w:rPr>
          <w:rFonts w:ascii="Times New Roman" w:hAnsi="Times New Roman" w:cs="Times New Roman"/>
          <w:sz w:val="28"/>
          <w:szCs w:val="28"/>
        </w:rPr>
        <w:t>не містять норм регуляторного характеру</w:t>
      </w:r>
      <w:r w:rsidR="000924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 – визнано такими, що втратили чинність</w:t>
      </w:r>
      <w:r w:rsidR="00FC08B8" w:rsidRPr="00FC0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оскільки мали концептуальний, або програмний характер, їх положення не були спрямовані на правове або адміністративне регулювання господарських відносин між регуляторним органом та суб’єктами господарювання. </w:t>
      </w:r>
    </w:p>
    <w:p w14:paraId="29EDA2D9" w14:textId="77777777" w:rsidR="004653BE" w:rsidRDefault="00913CB6" w:rsidP="004653BE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 регуляторних актів органами місцевого самоврядування, з них: </w:t>
      </w:r>
      <w:r w:rsidR="00692512">
        <w:rPr>
          <w:rFonts w:ascii="Times New Roman" w:hAnsi="Times New Roman" w:cs="Times New Roman"/>
          <w:sz w:val="28"/>
          <w:szCs w:val="28"/>
        </w:rPr>
        <w:t xml:space="preserve">18 – </w:t>
      </w:r>
      <w:r w:rsidR="00692512"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визнано такими, що втратили чинність; 8 – приведено у відповідність до чинного законодавства України; 7 – залишено без змін; 3 – визнано як такі, що не містять норм регуляторного характеру; 1 – потребує скасування за результатами звіту про періодичне відстеження результативності регуляторного </w:t>
      </w:r>
      <w:proofErr w:type="spellStart"/>
      <w:r w:rsidR="00692512"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proofErr w:type="spellEnd"/>
      <w:r w:rsidR="00692512"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682248F" w14:textId="7E21C0D9" w:rsidR="000D4CB4" w:rsidRPr="005175AB" w:rsidRDefault="00A82F5D" w:rsidP="005175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Надіслано </w:t>
      </w:r>
      <w:r w:rsidR="00AC4808"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>роз’яснен</w:t>
      </w:r>
      <w:r w:rsidR="00AC4808"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місцевого самоврядування </w:t>
      </w:r>
      <w:r w:rsidR="0051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органам виконавчої влади </w:t>
      </w:r>
      <w:r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області щодо ключових питань </w:t>
      </w:r>
      <w:r w:rsidR="004653BE" w:rsidRPr="00465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здійснення регуляторної діяльності та дотримання вимог Закону України «Про засади державної регуляторної політики у сфері господарської діяльності». Зокрема, було приділено значної уваги особливостям </w:t>
      </w:r>
      <w:r w:rsidR="004653BE" w:rsidRPr="004653B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підготовки </w:t>
      </w:r>
      <w:proofErr w:type="spellStart"/>
      <w:r w:rsidR="004653BE" w:rsidRPr="004653B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про</w:t>
      </w:r>
      <w:r w:rsidR="005175A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є</w:t>
      </w:r>
      <w:r w:rsidR="004653BE" w:rsidRPr="004653B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ктів</w:t>
      </w:r>
      <w:proofErr w:type="spellEnd"/>
      <w:r w:rsidR="004653BE" w:rsidRPr="004653B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регуляторних актів органами місцевого самоврядування, військово-цивільними адміністраціями та військовими адміністраціями, а також їх посадовими особами в умовах воєнного стану з урахуванням Закону України від 12.05.2022 № № 2259-IX «Про внесення змін до деяких законів України щодо функціонування державної служби та місцевого самоврядування у період дії воєнного стану».</w:t>
      </w:r>
      <w:r w:rsidR="004653B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</w:p>
    <w:p w14:paraId="66AC0415" w14:textId="3C5B5694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На виконання пункту 1 розпорядження Кабінету Міністрів України                   від 19</w:t>
      </w:r>
      <w:r w:rsidR="000B1F89" w:rsidRPr="000D060B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Pr="000D060B">
        <w:rPr>
          <w:rFonts w:ascii="Times New Roman" w:hAnsi="Times New Roman" w:cs="Times New Roman"/>
          <w:sz w:val="28"/>
          <w:szCs w:val="28"/>
        </w:rPr>
        <w:t xml:space="preserve">2004 </w:t>
      </w:r>
      <w:r w:rsidR="000B1F89" w:rsidRPr="000D060B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0D060B">
        <w:rPr>
          <w:rFonts w:ascii="Times New Roman" w:hAnsi="Times New Roman" w:cs="Times New Roman"/>
          <w:sz w:val="28"/>
          <w:szCs w:val="28"/>
        </w:rPr>
        <w:t xml:space="preserve">№152-р «Про підготовку та оприлюднення щорічної інформації Кабінету Міністрів України про здійснення державної регуляторної політики органами виконавчої влади» облдержадміністрацією підготовлено та надано Державній регуляторній службі України інформацію про здійснення державної регуляторної </w:t>
      </w:r>
      <w:r w:rsidRPr="000D060B">
        <w:rPr>
          <w:rFonts w:ascii="Times New Roman" w:hAnsi="Times New Roman" w:cs="Times New Roman"/>
          <w:color w:val="000000" w:themeColor="text1"/>
          <w:sz w:val="28"/>
          <w:szCs w:val="28"/>
        </w:rPr>
        <w:t>політики у 202</w:t>
      </w:r>
      <w:r w:rsidR="000B1F89" w:rsidRPr="000D06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D0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році.</w:t>
      </w:r>
      <w:r w:rsidRPr="000D06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598DB" w14:textId="77777777" w:rsidR="003D2AFD" w:rsidRPr="0021621A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65F3BB" w14:textId="77777777" w:rsidR="003D2AFD" w:rsidRPr="000D060B" w:rsidRDefault="003D2AFD" w:rsidP="000D060B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60B">
        <w:rPr>
          <w:rFonts w:ascii="Times New Roman" w:hAnsi="Times New Roman" w:cs="Times New Roman"/>
          <w:b/>
          <w:sz w:val="28"/>
          <w:szCs w:val="28"/>
        </w:rPr>
        <w:t>Висновок</w:t>
      </w:r>
    </w:p>
    <w:p w14:paraId="7B44359B" w14:textId="77777777" w:rsidR="003D2AFD" w:rsidRPr="0021621A" w:rsidRDefault="003D2AFD" w:rsidP="000D060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C97213" w14:textId="1612BF8B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Протягом 202</w:t>
      </w:r>
      <w:r w:rsidR="00BB4CCE" w:rsidRPr="000D060B">
        <w:rPr>
          <w:rFonts w:ascii="Times New Roman" w:hAnsi="Times New Roman" w:cs="Times New Roman"/>
          <w:sz w:val="28"/>
          <w:szCs w:val="28"/>
        </w:rPr>
        <w:t>2</w:t>
      </w:r>
      <w:r w:rsidRPr="000D060B">
        <w:rPr>
          <w:rFonts w:ascii="Times New Roman" w:hAnsi="Times New Roman" w:cs="Times New Roman"/>
          <w:sz w:val="28"/>
          <w:szCs w:val="28"/>
        </w:rPr>
        <w:t xml:space="preserve"> року робота Київської обласної державної адміністрації </w:t>
      </w:r>
      <w:r w:rsidR="00BB4CCE" w:rsidRPr="000D060B">
        <w:rPr>
          <w:rFonts w:ascii="Times New Roman" w:hAnsi="Times New Roman" w:cs="Times New Roman"/>
          <w:sz w:val="28"/>
          <w:szCs w:val="28"/>
        </w:rPr>
        <w:t xml:space="preserve">(Київської обласної військової адміністрації) </w:t>
      </w:r>
      <w:r w:rsidRPr="000D060B">
        <w:rPr>
          <w:rFonts w:ascii="Times New Roman" w:hAnsi="Times New Roman" w:cs="Times New Roman"/>
          <w:sz w:val="28"/>
          <w:szCs w:val="28"/>
        </w:rPr>
        <w:t>була направлена на забезпечення відповідності державного регулювання господарських відносин вимогам законодавства, а також прозорості процесу регуляторної діяльності.</w:t>
      </w:r>
    </w:p>
    <w:p w14:paraId="0C4B047F" w14:textId="77777777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Пріоритетами у забезпеченні та реалізації державної регуляторної політики на території регіону залишаються:</w:t>
      </w:r>
    </w:p>
    <w:p w14:paraId="34F845AE" w14:textId="77777777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lastRenderedPageBreak/>
        <w:t>неухильне дотримання місцевими органами виконавчої влади та органами місцевого самоврядування вимог Закону;</w:t>
      </w:r>
    </w:p>
    <w:p w14:paraId="3395F59F" w14:textId="77777777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приведення нормативно-правових актів у відповідність до вимог чинного законодавства України;</w:t>
      </w:r>
    </w:p>
    <w:p w14:paraId="1AFCA8F2" w14:textId="77777777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 xml:space="preserve">оптимізація регулювання господарської діяльності на місцевому рівні, зменшення регуляторного тиску на суб`єктів господарювання, що позитивно вплине на збільшення кількості як суб`єктів господарської діяльності, </w:t>
      </w:r>
      <w:r w:rsidRPr="000D060B">
        <w:rPr>
          <w:rFonts w:ascii="Times New Roman" w:hAnsi="Times New Roman" w:cs="Times New Roman"/>
          <w:sz w:val="28"/>
          <w:szCs w:val="28"/>
        </w:rPr>
        <w:br/>
        <w:t>так і створення ними робочих місць;</w:t>
      </w:r>
    </w:p>
    <w:p w14:paraId="69EA1561" w14:textId="2EB94BF8" w:rsidR="003D2AFD" w:rsidRPr="000D060B" w:rsidRDefault="00DE066F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методичної допомоги</w:t>
      </w:r>
      <w:r w:rsidR="003D2AFD" w:rsidRPr="000D060B">
        <w:rPr>
          <w:rFonts w:ascii="Times New Roman" w:hAnsi="Times New Roman" w:cs="Times New Roman"/>
          <w:sz w:val="28"/>
          <w:szCs w:val="28"/>
        </w:rPr>
        <w:t xml:space="preserve"> відповідальни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D2AFD" w:rsidRPr="000D060B">
        <w:rPr>
          <w:rFonts w:ascii="Times New Roman" w:hAnsi="Times New Roman" w:cs="Times New Roman"/>
          <w:sz w:val="28"/>
          <w:szCs w:val="28"/>
        </w:rPr>
        <w:t xml:space="preserve"> фахівц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3D2AFD" w:rsidRPr="000D060B">
        <w:rPr>
          <w:rFonts w:ascii="Times New Roman" w:hAnsi="Times New Roman" w:cs="Times New Roman"/>
          <w:sz w:val="28"/>
          <w:szCs w:val="28"/>
        </w:rPr>
        <w:t xml:space="preserve"> місцевих органів виконавчої влади та органів місцевого самоврядування області </w:t>
      </w:r>
      <w:r w:rsidR="003D2AFD" w:rsidRPr="000D060B">
        <w:rPr>
          <w:rFonts w:ascii="Times New Roman" w:hAnsi="Times New Roman" w:cs="Times New Roman"/>
          <w:sz w:val="28"/>
          <w:szCs w:val="28"/>
        </w:rPr>
        <w:br/>
        <w:t>з практичних питань здійснення державної регуляторної політики у сфері господарської діяльності.</w:t>
      </w:r>
    </w:p>
    <w:p w14:paraId="54431B0B" w14:textId="7FA083CD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Київською обл</w:t>
      </w:r>
      <w:r w:rsidRPr="00DE066F">
        <w:rPr>
          <w:rFonts w:ascii="Times New Roman" w:hAnsi="Times New Roman" w:cs="Times New Roman"/>
          <w:sz w:val="28"/>
          <w:szCs w:val="28"/>
        </w:rPr>
        <w:t xml:space="preserve">асною </w:t>
      </w:r>
      <w:r w:rsidRPr="000D060B">
        <w:rPr>
          <w:rFonts w:ascii="Times New Roman" w:hAnsi="Times New Roman" w:cs="Times New Roman"/>
          <w:sz w:val="28"/>
          <w:szCs w:val="28"/>
        </w:rPr>
        <w:t>держа</w:t>
      </w:r>
      <w:r w:rsidRPr="00DE066F">
        <w:rPr>
          <w:rFonts w:ascii="Times New Roman" w:hAnsi="Times New Roman" w:cs="Times New Roman"/>
          <w:sz w:val="28"/>
          <w:szCs w:val="28"/>
        </w:rPr>
        <w:t>вною а</w:t>
      </w:r>
      <w:r w:rsidRPr="000D060B">
        <w:rPr>
          <w:rFonts w:ascii="Times New Roman" w:hAnsi="Times New Roman" w:cs="Times New Roman"/>
          <w:sz w:val="28"/>
          <w:szCs w:val="28"/>
        </w:rPr>
        <w:t>дміністрацією</w:t>
      </w:r>
      <w:r w:rsidR="00DE066F">
        <w:rPr>
          <w:rFonts w:ascii="Times New Roman" w:hAnsi="Times New Roman" w:cs="Times New Roman"/>
          <w:sz w:val="28"/>
          <w:szCs w:val="28"/>
        </w:rPr>
        <w:t xml:space="preserve"> (Київською обласною військовою адміністрацією)</w:t>
      </w:r>
      <w:r w:rsidRPr="000D060B">
        <w:rPr>
          <w:rFonts w:ascii="Times New Roman" w:hAnsi="Times New Roman" w:cs="Times New Roman"/>
          <w:sz w:val="28"/>
          <w:szCs w:val="28"/>
        </w:rPr>
        <w:t xml:space="preserve"> забезпечується безумовне дотримання норм регуляторного законодавства України. Проведена робота в цьому напрямку сприяє зменшенню регуляторного тиску на підприємницьке середовище.</w:t>
      </w:r>
    </w:p>
    <w:p w14:paraId="6EADDC21" w14:textId="6EC268F8" w:rsidR="003D2AFD" w:rsidRPr="000D060B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0B">
        <w:rPr>
          <w:rFonts w:ascii="Times New Roman" w:hAnsi="Times New Roman" w:cs="Times New Roman"/>
          <w:sz w:val="28"/>
          <w:szCs w:val="28"/>
        </w:rPr>
        <w:t>Київською обласною державною адміністрацією</w:t>
      </w:r>
      <w:r w:rsidR="00DE066F">
        <w:rPr>
          <w:rFonts w:ascii="Times New Roman" w:hAnsi="Times New Roman" w:cs="Times New Roman"/>
          <w:sz w:val="28"/>
          <w:szCs w:val="28"/>
        </w:rPr>
        <w:t xml:space="preserve"> (Київською обласною військовою адміністрацією)</w:t>
      </w:r>
      <w:r w:rsidR="00DE066F" w:rsidRPr="000D060B">
        <w:rPr>
          <w:rFonts w:ascii="Times New Roman" w:hAnsi="Times New Roman" w:cs="Times New Roman"/>
          <w:sz w:val="28"/>
          <w:szCs w:val="28"/>
        </w:rPr>
        <w:t xml:space="preserve"> </w:t>
      </w:r>
      <w:r w:rsidRPr="000D060B">
        <w:rPr>
          <w:rFonts w:ascii="Times New Roman" w:hAnsi="Times New Roman" w:cs="Times New Roman"/>
          <w:sz w:val="28"/>
          <w:szCs w:val="28"/>
        </w:rPr>
        <w:t>заплановано на 202</w:t>
      </w:r>
      <w:r w:rsidR="00BB4CCE" w:rsidRPr="000D060B">
        <w:rPr>
          <w:rFonts w:ascii="Times New Roman" w:hAnsi="Times New Roman" w:cs="Times New Roman"/>
          <w:sz w:val="28"/>
          <w:szCs w:val="28"/>
        </w:rPr>
        <w:t>3</w:t>
      </w:r>
      <w:r w:rsidRPr="000D060B">
        <w:rPr>
          <w:rFonts w:ascii="Times New Roman" w:hAnsi="Times New Roman" w:cs="Times New Roman"/>
          <w:sz w:val="28"/>
          <w:szCs w:val="28"/>
        </w:rPr>
        <w:t xml:space="preserve"> рік продовжити активну роботу, спрямовану на підвищення ефективності реалізації державної регуляторної політики в сфері господарської діяльності та недопущення прийняття економічно недоцільних та неефективних регуляторних актів. </w:t>
      </w:r>
    </w:p>
    <w:p w14:paraId="422F580D" w14:textId="4191C117" w:rsidR="009C47C2" w:rsidRPr="000C3E78" w:rsidRDefault="009C47C2" w:rsidP="00003477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A96500" w14:textId="77777777" w:rsidR="000C3E78" w:rsidRDefault="000C3E78" w:rsidP="00003477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10EE" w14:paraId="4F845DB3" w14:textId="77777777" w:rsidTr="000C3E78">
        <w:tc>
          <w:tcPr>
            <w:tcW w:w="4814" w:type="dxa"/>
          </w:tcPr>
          <w:p w14:paraId="70D215C3" w14:textId="77777777" w:rsidR="000C3E78" w:rsidRDefault="000C3E78" w:rsidP="00003477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Перший заступник голови </w:t>
            </w:r>
          </w:p>
          <w:p w14:paraId="06A5988B" w14:textId="626852CB" w:rsidR="00BC10EE" w:rsidRPr="00F44C4A" w:rsidRDefault="000C3E78" w:rsidP="00003477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Київської обласної державної адміністрації </w:t>
            </w:r>
          </w:p>
        </w:tc>
        <w:tc>
          <w:tcPr>
            <w:tcW w:w="4814" w:type="dxa"/>
          </w:tcPr>
          <w:p w14:paraId="6A9FAFAC" w14:textId="77777777" w:rsidR="000C3E78" w:rsidRDefault="000C3E78" w:rsidP="00BC10EE">
            <w:pPr>
              <w:tabs>
                <w:tab w:val="left" w:pos="38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FA9E10" w14:textId="77777777" w:rsidR="000C3E78" w:rsidRDefault="000C3E78" w:rsidP="00420425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9B1BD" w14:textId="0D22454B" w:rsidR="00BC10EE" w:rsidRPr="00BC10EE" w:rsidRDefault="00DE3D7E" w:rsidP="00BC10EE">
            <w:pPr>
              <w:tabs>
                <w:tab w:val="left" w:pos="383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(підпис)          </w:t>
            </w:r>
            <w:r w:rsidR="000C3E78">
              <w:rPr>
                <w:rFonts w:ascii="Times New Roman" w:hAnsi="Times New Roman" w:cs="Times New Roman"/>
                <w:b/>
                <w:sz w:val="28"/>
                <w:szCs w:val="28"/>
              </w:rPr>
              <w:t>Дмитро НАЗАРЕНКО</w:t>
            </w:r>
          </w:p>
        </w:tc>
      </w:tr>
    </w:tbl>
    <w:p w14:paraId="3CA33B6E" w14:textId="723E0B6C" w:rsidR="00EF3182" w:rsidRPr="00F44C4A" w:rsidRDefault="00EF3182" w:rsidP="00003477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EF3182" w:rsidRPr="00F44C4A" w:rsidSect="00223D0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7FEF6" w14:textId="77777777" w:rsidR="003D2AFD" w:rsidRDefault="003D2AFD" w:rsidP="00AA7437">
      <w:pPr>
        <w:spacing w:after="0" w:line="240" w:lineRule="auto"/>
      </w:pPr>
      <w:r>
        <w:separator/>
      </w:r>
    </w:p>
  </w:endnote>
  <w:endnote w:type="continuationSeparator" w:id="0">
    <w:p w14:paraId="3D3153F2" w14:textId="77777777" w:rsidR="003D2AFD" w:rsidRDefault="003D2AFD" w:rsidP="00AA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ED729" w14:textId="77777777" w:rsidR="003D2AFD" w:rsidRDefault="003D2AFD" w:rsidP="00AA7437">
      <w:pPr>
        <w:spacing w:after="0" w:line="240" w:lineRule="auto"/>
      </w:pPr>
      <w:r>
        <w:separator/>
      </w:r>
    </w:p>
  </w:footnote>
  <w:footnote w:type="continuationSeparator" w:id="0">
    <w:p w14:paraId="4B54A2E4" w14:textId="77777777" w:rsidR="003D2AFD" w:rsidRDefault="003D2AFD" w:rsidP="00AA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62767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C08D562" w14:textId="7A88868B" w:rsidR="003D2AFD" w:rsidRPr="008C1ABF" w:rsidRDefault="003D2AFD" w:rsidP="008C1ABF">
        <w:pPr>
          <w:pStyle w:val="ab"/>
          <w:jc w:val="center"/>
          <w:rPr>
            <w:sz w:val="28"/>
            <w:szCs w:val="28"/>
          </w:rPr>
        </w:pPr>
        <w:r w:rsidRPr="008C1A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1A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1A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C1AB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8C1A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930A01" w14:textId="77777777" w:rsidR="003D2AFD" w:rsidRPr="00C766B1" w:rsidRDefault="003D2AFD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31575"/>
    <w:multiLevelType w:val="hybridMultilevel"/>
    <w:tmpl w:val="E5C66EDC"/>
    <w:lvl w:ilvl="0" w:tplc="DA046FB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D64093"/>
    <w:multiLevelType w:val="multilevel"/>
    <w:tmpl w:val="2458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B5075D"/>
    <w:multiLevelType w:val="hybridMultilevel"/>
    <w:tmpl w:val="8D88FB62"/>
    <w:lvl w:ilvl="0" w:tplc="703C4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61CDF"/>
    <w:multiLevelType w:val="hybridMultilevel"/>
    <w:tmpl w:val="94EA42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8632E"/>
    <w:multiLevelType w:val="hybridMultilevel"/>
    <w:tmpl w:val="406E20E2"/>
    <w:lvl w:ilvl="0" w:tplc="6396D63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4FD97CCE"/>
    <w:multiLevelType w:val="hybridMultilevel"/>
    <w:tmpl w:val="7D2A58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3B5B40"/>
    <w:multiLevelType w:val="hybridMultilevel"/>
    <w:tmpl w:val="3C608B7C"/>
    <w:lvl w:ilvl="0" w:tplc="17B6E81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C2"/>
    <w:rsid w:val="00002C3A"/>
    <w:rsid w:val="00003477"/>
    <w:rsid w:val="0000360F"/>
    <w:rsid w:val="000054CE"/>
    <w:rsid w:val="000060A5"/>
    <w:rsid w:val="00014360"/>
    <w:rsid w:val="0001497B"/>
    <w:rsid w:val="0002738B"/>
    <w:rsid w:val="000369D3"/>
    <w:rsid w:val="000401A5"/>
    <w:rsid w:val="00041FC7"/>
    <w:rsid w:val="000458A8"/>
    <w:rsid w:val="00046116"/>
    <w:rsid w:val="000505DA"/>
    <w:rsid w:val="00051800"/>
    <w:rsid w:val="0007109E"/>
    <w:rsid w:val="0008184F"/>
    <w:rsid w:val="00082D1B"/>
    <w:rsid w:val="0009241E"/>
    <w:rsid w:val="000A2139"/>
    <w:rsid w:val="000B1F89"/>
    <w:rsid w:val="000C01D9"/>
    <w:rsid w:val="000C246B"/>
    <w:rsid w:val="000C3E78"/>
    <w:rsid w:val="000D060B"/>
    <w:rsid w:val="000D1106"/>
    <w:rsid w:val="000D4CB4"/>
    <w:rsid w:val="000D6EA3"/>
    <w:rsid w:val="000E5D30"/>
    <w:rsid w:val="000F188C"/>
    <w:rsid w:val="001131F9"/>
    <w:rsid w:val="001268B9"/>
    <w:rsid w:val="00131D4D"/>
    <w:rsid w:val="00133D97"/>
    <w:rsid w:val="00134FC4"/>
    <w:rsid w:val="00141826"/>
    <w:rsid w:val="00146845"/>
    <w:rsid w:val="00151E9C"/>
    <w:rsid w:val="00154BDA"/>
    <w:rsid w:val="00156A64"/>
    <w:rsid w:val="001622FE"/>
    <w:rsid w:val="001A7906"/>
    <w:rsid w:val="001B090F"/>
    <w:rsid w:val="001B0936"/>
    <w:rsid w:val="001B2DBD"/>
    <w:rsid w:val="001B3BA0"/>
    <w:rsid w:val="001C3549"/>
    <w:rsid w:val="001C7883"/>
    <w:rsid w:val="001E4E4B"/>
    <w:rsid w:val="001E6F5F"/>
    <w:rsid w:val="001F6B0A"/>
    <w:rsid w:val="001F7BCB"/>
    <w:rsid w:val="00215CE8"/>
    <w:rsid w:val="002161D7"/>
    <w:rsid w:val="0021621A"/>
    <w:rsid w:val="00223D09"/>
    <w:rsid w:val="0022471B"/>
    <w:rsid w:val="00232138"/>
    <w:rsid w:val="002432E2"/>
    <w:rsid w:val="00246B00"/>
    <w:rsid w:val="00263806"/>
    <w:rsid w:val="002701F0"/>
    <w:rsid w:val="00271F64"/>
    <w:rsid w:val="00272D62"/>
    <w:rsid w:val="00273687"/>
    <w:rsid w:val="00277006"/>
    <w:rsid w:val="00287C53"/>
    <w:rsid w:val="002A12FA"/>
    <w:rsid w:val="002C2098"/>
    <w:rsid w:val="002C43AC"/>
    <w:rsid w:val="002C4EAA"/>
    <w:rsid w:val="002D146C"/>
    <w:rsid w:val="002D22CB"/>
    <w:rsid w:val="002F55C7"/>
    <w:rsid w:val="002F5733"/>
    <w:rsid w:val="00300BE0"/>
    <w:rsid w:val="00307E1F"/>
    <w:rsid w:val="003142ED"/>
    <w:rsid w:val="00320356"/>
    <w:rsid w:val="003266D5"/>
    <w:rsid w:val="00327412"/>
    <w:rsid w:val="00337C05"/>
    <w:rsid w:val="00357091"/>
    <w:rsid w:val="003633B9"/>
    <w:rsid w:val="0036632D"/>
    <w:rsid w:val="00382314"/>
    <w:rsid w:val="00390894"/>
    <w:rsid w:val="003A4689"/>
    <w:rsid w:val="003B46D1"/>
    <w:rsid w:val="003C7111"/>
    <w:rsid w:val="003D2AFD"/>
    <w:rsid w:val="003D4EE0"/>
    <w:rsid w:val="003E50FD"/>
    <w:rsid w:val="003F174B"/>
    <w:rsid w:val="003F3F96"/>
    <w:rsid w:val="003F5DCD"/>
    <w:rsid w:val="00411CAD"/>
    <w:rsid w:val="00420425"/>
    <w:rsid w:val="00421A2A"/>
    <w:rsid w:val="00430FC4"/>
    <w:rsid w:val="00443A70"/>
    <w:rsid w:val="00452A13"/>
    <w:rsid w:val="00457FC3"/>
    <w:rsid w:val="004653BE"/>
    <w:rsid w:val="00466280"/>
    <w:rsid w:val="00466711"/>
    <w:rsid w:val="00466EE4"/>
    <w:rsid w:val="00472521"/>
    <w:rsid w:val="0047534E"/>
    <w:rsid w:val="00483857"/>
    <w:rsid w:val="0048536D"/>
    <w:rsid w:val="00493154"/>
    <w:rsid w:val="004A5A57"/>
    <w:rsid w:val="004B1661"/>
    <w:rsid w:val="004B46D8"/>
    <w:rsid w:val="004C113C"/>
    <w:rsid w:val="004D607C"/>
    <w:rsid w:val="004E2AE9"/>
    <w:rsid w:val="004E79B2"/>
    <w:rsid w:val="004F39B1"/>
    <w:rsid w:val="005033B4"/>
    <w:rsid w:val="005069F2"/>
    <w:rsid w:val="00513AB7"/>
    <w:rsid w:val="005175AB"/>
    <w:rsid w:val="005264BE"/>
    <w:rsid w:val="005349BC"/>
    <w:rsid w:val="00535721"/>
    <w:rsid w:val="0054012A"/>
    <w:rsid w:val="0055143A"/>
    <w:rsid w:val="005520C0"/>
    <w:rsid w:val="005533F8"/>
    <w:rsid w:val="00561FC6"/>
    <w:rsid w:val="005640F2"/>
    <w:rsid w:val="00570D58"/>
    <w:rsid w:val="005722A5"/>
    <w:rsid w:val="00575AA1"/>
    <w:rsid w:val="00575DBB"/>
    <w:rsid w:val="005870F3"/>
    <w:rsid w:val="00590F6F"/>
    <w:rsid w:val="005944A7"/>
    <w:rsid w:val="005951CA"/>
    <w:rsid w:val="005A5D1B"/>
    <w:rsid w:val="005B389F"/>
    <w:rsid w:val="005C071F"/>
    <w:rsid w:val="005C329E"/>
    <w:rsid w:val="005C4F7F"/>
    <w:rsid w:val="005D58EE"/>
    <w:rsid w:val="005D6A24"/>
    <w:rsid w:val="005D7977"/>
    <w:rsid w:val="005E0497"/>
    <w:rsid w:val="005E313E"/>
    <w:rsid w:val="005E577D"/>
    <w:rsid w:val="005F3819"/>
    <w:rsid w:val="0060396B"/>
    <w:rsid w:val="006054FA"/>
    <w:rsid w:val="00611C5A"/>
    <w:rsid w:val="006128FC"/>
    <w:rsid w:val="00612E9C"/>
    <w:rsid w:val="00614788"/>
    <w:rsid w:val="00625DC3"/>
    <w:rsid w:val="006263F2"/>
    <w:rsid w:val="00640232"/>
    <w:rsid w:val="00640404"/>
    <w:rsid w:val="00641213"/>
    <w:rsid w:val="00647F67"/>
    <w:rsid w:val="006559E7"/>
    <w:rsid w:val="00662FAA"/>
    <w:rsid w:val="006632CE"/>
    <w:rsid w:val="00673891"/>
    <w:rsid w:val="00674021"/>
    <w:rsid w:val="0067484E"/>
    <w:rsid w:val="00683289"/>
    <w:rsid w:val="006835F0"/>
    <w:rsid w:val="00692512"/>
    <w:rsid w:val="006927C3"/>
    <w:rsid w:val="00694AA0"/>
    <w:rsid w:val="006977E1"/>
    <w:rsid w:val="006A4974"/>
    <w:rsid w:val="006B271D"/>
    <w:rsid w:val="006B2791"/>
    <w:rsid w:val="006C3AB0"/>
    <w:rsid w:val="006C47F6"/>
    <w:rsid w:val="006C492B"/>
    <w:rsid w:val="006C6536"/>
    <w:rsid w:val="006D0E8E"/>
    <w:rsid w:val="006D18F1"/>
    <w:rsid w:val="006D35A7"/>
    <w:rsid w:val="006D3BF1"/>
    <w:rsid w:val="006F06B3"/>
    <w:rsid w:val="006F0F71"/>
    <w:rsid w:val="00701B78"/>
    <w:rsid w:val="00704265"/>
    <w:rsid w:val="0071071B"/>
    <w:rsid w:val="00716190"/>
    <w:rsid w:val="00716250"/>
    <w:rsid w:val="00725192"/>
    <w:rsid w:val="0073001D"/>
    <w:rsid w:val="007356D2"/>
    <w:rsid w:val="00737616"/>
    <w:rsid w:val="00782D90"/>
    <w:rsid w:val="0078764A"/>
    <w:rsid w:val="00792F23"/>
    <w:rsid w:val="007A18ED"/>
    <w:rsid w:val="007A6F32"/>
    <w:rsid w:val="007B45B1"/>
    <w:rsid w:val="007D223C"/>
    <w:rsid w:val="007D32A4"/>
    <w:rsid w:val="007D6C4F"/>
    <w:rsid w:val="007E529A"/>
    <w:rsid w:val="007E6684"/>
    <w:rsid w:val="00807475"/>
    <w:rsid w:val="00820141"/>
    <w:rsid w:val="00823D4B"/>
    <w:rsid w:val="008244FC"/>
    <w:rsid w:val="00834D4E"/>
    <w:rsid w:val="00843AE4"/>
    <w:rsid w:val="00866807"/>
    <w:rsid w:val="00880A3C"/>
    <w:rsid w:val="0088342C"/>
    <w:rsid w:val="00891444"/>
    <w:rsid w:val="00896EFD"/>
    <w:rsid w:val="008A1B0A"/>
    <w:rsid w:val="008A314D"/>
    <w:rsid w:val="008B716F"/>
    <w:rsid w:val="008B77F2"/>
    <w:rsid w:val="008C1ABF"/>
    <w:rsid w:val="008C734F"/>
    <w:rsid w:val="008D1446"/>
    <w:rsid w:val="008D1DEF"/>
    <w:rsid w:val="008D7E93"/>
    <w:rsid w:val="008E50A4"/>
    <w:rsid w:val="008F361A"/>
    <w:rsid w:val="008F3E06"/>
    <w:rsid w:val="00912970"/>
    <w:rsid w:val="00913CB6"/>
    <w:rsid w:val="00924A2E"/>
    <w:rsid w:val="00924FFC"/>
    <w:rsid w:val="00931A55"/>
    <w:rsid w:val="00935C1D"/>
    <w:rsid w:val="00941D6C"/>
    <w:rsid w:val="00944767"/>
    <w:rsid w:val="00947E42"/>
    <w:rsid w:val="00950EA3"/>
    <w:rsid w:val="00952446"/>
    <w:rsid w:val="00974A95"/>
    <w:rsid w:val="00993572"/>
    <w:rsid w:val="00993F69"/>
    <w:rsid w:val="009A1558"/>
    <w:rsid w:val="009B4C2C"/>
    <w:rsid w:val="009B7667"/>
    <w:rsid w:val="009C47C2"/>
    <w:rsid w:val="009D202C"/>
    <w:rsid w:val="009D6818"/>
    <w:rsid w:val="009F0C37"/>
    <w:rsid w:val="009F2166"/>
    <w:rsid w:val="009F62F9"/>
    <w:rsid w:val="00A02B98"/>
    <w:rsid w:val="00A23F1E"/>
    <w:rsid w:val="00A25486"/>
    <w:rsid w:val="00A420BD"/>
    <w:rsid w:val="00A43398"/>
    <w:rsid w:val="00A43DF5"/>
    <w:rsid w:val="00A43F92"/>
    <w:rsid w:val="00A50531"/>
    <w:rsid w:val="00A66194"/>
    <w:rsid w:val="00A7028E"/>
    <w:rsid w:val="00A77816"/>
    <w:rsid w:val="00A82F5D"/>
    <w:rsid w:val="00A83A3C"/>
    <w:rsid w:val="00A85107"/>
    <w:rsid w:val="00A96F28"/>
    <w:rsid w:val="00AA7437"/>
    <w:rsid w:val="00AB3455"/>
    <w:rsid w:val="00AC0F88"/>
    <w:rsid w:val="00AC3756"/>
    <w:rsid w:val="00AC4808"/>
    <w:rsid w:val="00AC76BC"/>
    <w:rsid w:val="00AE1A7F"/>
    <w:rsid w:val="00AE5B09"/>
    <w:rsid w:val="00B028D8"/>
    <w:rsid w:val="00B04144"/>
    <w:rsid w:val="00B06375"/>
    <w:rsid w:val="00B1158B"/>
    <w:rsid w:val="00B16AFD"/>
    <w:rsid w:val="00B24E66"/>
    <w:rsid w:val="00B2588C"/>
    <w:rsid w:val="00B33446"/>
    <w:rsid w:val="00B33D4D"/>
    <w:rsid w:val="00B50EC7"/>
    <w:rsid w:val="00B55D40"/>
    <w:rsid w:val="00B56472"/>
    <w:rsid w:val="00B60F5F"/>
    <w:rsid w:val="00B6528D"/>
    <w:rsid w:val="00B7163D"/>
    <w:rsid w:val="00B8585C"/>
    <w:rsid w:val="00B918EA"/>
    <w:rsid w:val="00B9366C"/>
    <w:rsid w:val="00B93AB6"/>
    <w:rsid w:val="00BB3C0D"/>
    <w:rsid w:val="00BB4CCE"/>
    <w:rsid w:val="00BB4F01"/>
    <w:rsid w:val="00BC07D5"/>
    <w:rsid w:val="00BC10EE"/>
    <w:rsid w:val="00BC227F"/>
    <w:rsid w:val="00BC7E54"/>
    <w:rsid w:val="00BD2951"/>
    <w:rsid w:val="00BF67BF"/>
    <w:rsid w:val="00BF7740"/>
    <w:rsid w:val="00C0013E"/>
    <w:rsid w:val="00C104E6"/>
    <w:rsid w:val="00C21652"/>
    <w:rsid w:val="00C368F3"/>
    <w:rsid w:val="00C36BEF"/>
    <w:rsid w:val="00C370E5"/>
    <w:rsid w:val="00C43DBF"/>
    <w:rsid w:val="00C45285"/>
    <w:rsid w:val="00C5221E"/>
    <w:rsid w:val="00C5331A"/>
    <w:rsid w:val="00C55FAB"/>
    <w:rsid w:val="00C6760D"/>
    <w:rsid w:val="00C74864"/>
    <w:rsid w:val="00C766B1"/>
    <w:rsid w:val="00C80077"/>
    <w:rsid w:val="00C91168"/>
    <w:rsid w:val="00C9536B"/>
    <w:rsid w:val="00C958B4"/>
    <w:rsid w:val="00CB0032"/>
    <w:rsid w:val="00CB430D"/>
    <w:rsid w:val="00CB711A"/>
    <w:rsid w:val="00CC718A"/>
    <w:rsid w:val="00CD02F5"/>
    <w:rsid w:val="00CD3B49"/>
    <w:rsid w:val="00CE69EE"/>
    <w:rsid w:val="00CF09AF"/>
    <w:rsid w:val="00D110AF"/>
    <w:rsid w:val="00D1433B"/>
    <w:rsid w:val="00D15023"/>
    <w:rsid w:val="00D2758D"/>
    <w:rsid w:val="00D42BA7"/>
    <w:rsid w:val="00D47F51"/>
    <w:rsid w:val="00D509AD"/>
    <w:rsid w:val="00D529D4"/>
    <w:rsid w:val="00D55CEC"/>
    <w:rsid w:val="00D571A1"/>
    <w:rsid w:val="00D62B36"/>
    <w:rsid w:val="00D73138"/>
    <w:rsid w:val="00D7400B"/>
    <w:rsid w:val="00D74CB0"/>
    <w:rsid w:val="00D808DE"/>
    <w:rsid w:val="00D85B9A"/>
    <w:rsid w:val="00D915DC"/>
    <w:rsid w:val="00D94BA0"/>
    <w:rsid w:val="00D9518A"/>
    <w:rsid w:val="00DA13C9"/>
    <w:rsid w:val="00DA3023"/>
    <w:rsid w:val="00DB4189"/>
    <w:rsid w:val="00DC2B26"/>
    <w:rsid w:val="00DC3763"/>
    <w:rsid w:val="00DC402F"/>
    <w:rsid w:val="00DC5C31"/>
    <w:rsid w:val="00DC72A0"/>
    <w:rsid w:val="00DD4C52"/>
    <w:rsid w:val="00DD5326"/>
    <w:rsid w:val="00DE066F"/>
    <w:rsid w:val="00DE23E3"/>
    <w:rsid w:val="00DE3D7E"/>
    <w:rsid w:val="00DF5FF8"/>
    <w:rsid w:val="00DF6A23"/>
    <w:rsid w:val="00E0170C"/>
    <w:rsid w:val="00E17E06"/>
    <w:rsid w:val="00E2136A"/>
    <w:rsid w:val="00E24D30"/>
    <w:rsid w:val="00E33AA0"/>
    <w:rsid w:val="00E41C72"/>
    <w:rsid w:val="00E5294C"/>
    <w:rsid w:val="00E6117F"/>
    <w:rsid w:val="00E6347B"/>
    <w:rsid w:val="00E9204E"/>
    <w:rsid w:val="00E9427B"/>
    <w:rsid w:val="00E9553C"/>
    <w:rsid w:val="00EA0CD9"/>
    <w:rsid w:val="00EA1052"/>
    <w:rsid w:val="00EA3AC7"/>
    <w:rsid w:val="00EA5BD2"/>
    <w:rsid w:val="00EC371A"/>
    <w:rsid w:val="00EC5D28"/>
    <w:rsid w:val="00EC7E37"/>
    <w:rsid w:val="00EE3816"/>
    <w:rsid w:val="00EF3182"/>
    <w:rsid w:val="00EF71EE"/>
    <w:rsid w:val="00EF7685"/>
    <w:rsid w:val="00F018EB"/>
    <w:rsid w:val="00F20429"/>
    <w:rsid w:val="00F20BF7"/>
    <w:rsid w:val="00F213BA"/>
    <w:rsid w:val="00F2239E"/>
    <w:rsid w:val="00F33A3A"/>
    <w:rsid w:val="00F33C85"/>
    <w:rsid w:val="00F36AD2"/>
    <w:rsid w:val="00F44C4A"/>
    <w:rsid w:val="00F4520C"/>
    <w:rsid w:val="00F53D0D"/>
    <w:rsid w:val="00F608D0"/>
    <w:rsid w:val="00F63EC9"/>
    <w:rsid w:val="00F64798"/>
    <w:rsid w:val="00F65373"/>
    <w:rsid w:val="00F75F28"/>
    <w:rsid w:val="00F75F55"/>
    <w:rsid w:val="00F77871"/>
    <w:rsid w:val="00F81368"/>
    <w:rsid w:val="00F81AC9"/>
    <w:rsid w:val="00F82640"/>
    <w:rsid w:val="00F82F2C"/>
    <w:rsid w:val="00F872C9"/>
    <w:rsid w:val="00F95C02"/>
    <w:rsid w:val="00FA7388"/>
    <w:rsid w:val="00FB0FD8"/>
    <w:rsid w:val="00FB2510"/>
    <w:rsid w:val="00FB2E0B"/>
    <w:rsid w:val="00FC08B8"/>
    <w:rsid w:val="00FC0D1B"/>
    <w:rsid w:val="00FC2977"/>
    <w:rsid w:val="00FD3EF8"/>
    <w:rsid w:val="00FD6499"/>
    <w:rsid w:val="00FD7F65"/>
    <w:rsid w:val="00FE39A6"/>
    <w:rsid w:val="00FE4112"/>
    <w:rsid w:val="00FE5F14"/>
    <w:rsid w:val="00FF5DD6"/>
    <w:rsid w:val="00FF699A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31398B"/>
  <w15:docId w15:val="{D5903177-B6B8-477D-AB8A-C6E29DAC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7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C47C2"/>
    <w:rPr>
      <w:b/>
      <w:bCs/>
    </w:rPr>
  </w:style>
  <w:style w:type="paragraph" w:styleId="a5">
    <w:name w:val="List Paragraph"/>
    <w:basedOn w:val="a"/>
    <w:uiPriority w:val="34"/>
    <w:qFormat/>
    <w:rsid w:val="005944A7"/>
    <w:pPr>
      <w:ind w:left="720"/>
      <w:contextualSpacing/>
    </w:pPr>
  </w:style>
  <w:style w:type="paragraph" w:styleId="a6">
    <w:name w:val="Body Text"/>
    <w:basedOn w:val="a"/>
    <w:link w:val="a7"/>
    <w:unhideWhenUsed/>
    <w:rsid w:val="00F608D0"/>
    <w:pPr>
      <w:widowControl w:val="0"/>
      <w:shd w:val="clear" w:color="auto" w:fill="FFFFFF"/>
      <w:spacing w:before="240" w:after="0" w:line="283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rsid w:val="00F608D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7D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223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227F"/>
    <w:rPr>
      <w:color w:val="0000FF" w:themeColor="hyperlink"/>
      <w:u w:val="single"/>
    </w:rPr>
  </w:style>
  <w:style w:type="character" w:customStyle="1" w:styleId="spellingerror">
    <w:name w:val="spellingerror"/>
    <w:rsid w:val="003E50FD"/>
  </w:style>
  <w:style w:type="character" w:customStyle="1" w:styleId="nc684nl6">
    <w:name w:val="nc684nl6"/>
    <w:basedOn w:val="a0"/>
    <w:rsid w:val="004B1661"/>
  </w:style>
  <w:style w:type="paragraph" w:styleId="ab">
    <w:name w:val="header"/>
    <w:basedOn w:val="a"/>
    <w:link w:val="ac"/>
    <w:uiPriority w:val="99"/>
    <w:unhideWhenUsed/>
    <w:rsid w:val="00AA7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7437"/>
  </w:style>
  <w:style w:type="paragraph" w:styleId="ad">
    <w:name w:val="footer"/>
    <w:basedOn w:val="a"/>
    <w:link w:val="ae"/>
    <w:uiPriority w:val="99"/>
    <w:unhideWhenUsed/>
    <w:rsid w:val="00AA7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7437"/>
  </w:style>
  <w:style w:type="character" w:styleId="af">
    <w:name w:val="Unresolved Mention"/>
    <w:basedOn w:val="a0"/>
    <w:uiPriority w:val="99"/>
    <w:semiHidden/>
    <w:unhideWhenUsed/>
    <w:rsid w:val="00D529D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BC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53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B9B6-078A-4086-8F8A-89D200EE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9394</Words>
  <Characters>5355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1041</dc:creator>
  <cp:lastModifiedBy>Юлия Качан</cp:lastModifiedBy>
  <cp:revision>6</cp:revision>
  <cp:lastPrinted>2022-01-05T09:16:00Z</cp:lastPrinted>
  <dcterms:created xsi:type="dcterms:W3CDTF">2023-01-06T07:27:00Z</dcterms:created>
  <dcterms:modified xsi:type="dcterms:W3CDTF">2023-01-06T07:31:00Z</dcterms:modified>
</cp:coreProperties>
</file>