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E5E" w:rsidRPr="00141205" w:rsidRDefault="00AC0E5E">
      <w:pPr>
        <w:spacing w:after="0" w:line="259" w:lineRule="auto"/>
        <w:ind w:left="562" w:right="0" w:firstLine="0"/>
        <w:jc w:val="center"/>
        <w:rPr>
          <w:b/>
          <w:lang w:val="uk-UA"/>
        </w:rPr>
      </w:pPr>
      <w:r w:rsidRPr="001E14D9">
        <w:rPr>
          <w:b/>
          <w:lang w:val="uk-UA"/>
        </w:rPr>
        <w:t xml:space="preserve">ПОЯСНЮВАЛЬНА ЗАПИСКА </w:t>
      </w:r>
    </w:p>
    <w:p w:rsidR="00AC0E5E" w:rsidRPr="00141205" w:rsidRDefault="00F91C4D" w:rsidP="00A01128">
      <w:pPr>
        <w:spacing w:after="0" w:line="259" w:lineRule="auto"/>
        <w:ind w:right="0" w:firstLine="0"/>
        <w:jc w:val="center"/>
        <w:rPr>
          <w:b/>
          <w:lang w:val="uk-UA"/>
        </w:rPr>
      </w:pPr>
      <w:r>
        <w:rPr>
          <w:b/>
          <w:lang w:val="uk-UA"/>
        </w:rPr>
        <w:t>до звіту про виконання</w:t>
      </w:r>
      <w:r w:rsidRPr="00F91C4D">
        <w:rPr>
          <w:b/>
          <w:lang w:val="uk-UA"/>
        </w:rPr>
        <w:t xml:space="preserve"> Київської обласної цільової програми підтримки підприємств спільної власності територіальних громад сіл, селищ, міст Київської області і зап</w:t>
      </w:r>
      <w:r w:rsidR="005A7C55">
        <w:rPr>
          <w:b/>
          <w:lang w:val="uk-UA"/>
        </w:rPr>
        <w:t>обігання їх банкрутству на 2020</w:t>
      </w:r>
      <w:r w:rsidRPr="00F91C4D">
        <w:rPr>
          <w:b/>
          <w:lang w:val="uk-UA"/>
        </w:rPr>
        <w:t>-2022 роки</w:t>
      </w:r>
      <w:r w:rsidR="00AC0E5E" w:rsidRPr="00141205">
        <w:rPr>
          <w:b/>
          <w:lang w:val="uk-UA"/>
        </w:rPr>
        <w:t xml:space="preserve"> за</w:t>
      </w:r>
      <w:r w:rsidR="00AC0E5E">
        <w:rPr>
          <w:b/>
          <w:lang w:val="uk-UA"/>
        </w:rPr>
        <w:t xml:space="preserve"> </w:t>
      </w:r>
      <w:r>
        <w:rPr>
          <w:b/>
          <w:lang w:val="uk-UA"/>
        </w:rPr>
        <w:t>2020</w:t>
      </w:r>
      <w:r w:rsidR="00AC0E5E">
        <w:rPr>
          <w:b/>
          <w:lang w:val="uk-UA"/>
        </w:rPr>
        <w:t xml:space="preserve"> рік</w:t>
      </w:r>
    </w:p>
    <w:p w:rsidR="00AC0E5E" w:rsidRPr="00141205" w:rsidRDefault="00AC0E5E">
      <w:pPr>
        <w:spacing w:after="76" w:line="259" w:lineRule="auto"/>
        <w:ind w:left="624" w:right="0" w:firstLine="0"/>
        <w:jc w:val="center"/>
        <w:rPr>
          <w:lang w:val="uk-UA"/>
        </w:rPr>
      </w:pPr>
    </w:p>
    <w:p w:rsidR="00AC0E5E" w:rsidRDefault="00AC0E5E">
      <w:pPr>
        <w:pStyle w:val="1"/>
        <w:ind w:left="976" w:hanging="281"/>
      </w:pPr>
      <w:r>
        <w:t>Назва обласної (цільової) програми</w:t>
      </w:r>
    </w:p>
    <w:p w:rsidR="00AC0E5E" w:rsidRPr="00264C15" w:rsidRDefault="00373F73">
      <w:pPr>
        <w:ind w:left="-15" w:right="0"/>
        <w:rPr>
          <w:lang w:val="uk-UA"/>
        </w:rPr>
      </w:pPr>
      <w:r w:rsidRPr="0090339E">
        <w:rPr>
          <w:lang w:val="uk-UA"/>
        </w:rPr>
        <w:t>Київськ</w:t>
      </w:r>
      <w:r>
        <w:rPr>
          <w:lang w:val="uk-UA"/>
        </w:rPr>
        <w:t>а обласна</w:t>
      </w:r>
      <w:r w:rsidRPr="0090339E">
        <w:rPr>
          <w:lang w:val="uk-UA"/>
        </w:rPr>
        <w:t xml:space="preserve"> цільов</w:t>
      </w:r>
      <w:r>
        <w:rPr>
          <w:lang w:val="uk-UA"/>
        </w:rPr>
        <w:t>а</w:t>
      </w:r>
      <w:r w:rsidRPr="0090339E">
        <w:rPr>
          <w:lang w:val="uk-UA"/>
        </w:rPr>
        <w:t xml:space="preserve"> програм</w:t>
      </w:r>
      <w:r>
        <w:rPr>
          <w:lang w:val="uk-UA"/>
        </w:rPr>
        <w:t>а</w:t>
      </w:r>
      <w:r w:rsidRPr="0090339E">
        <w:rPr>
          <w:lang w:val="uk-UA"/>
        </w:rPr>
        <w:t xml:space="preserve"> підтримки підприємств спільної власності територіальних громад сіл, селищ, міст Київської області і запобігання їх банкрутству на 2020-2022 роки</w:t>
      </w:r>
      <w:r w:rsidRPr="00264C15">
        <w:rPr>
          <w:lang w:val="uk-UA"/>
        </w:rPr>
        <w:t xml:space="preserve"> </w:t>
      </w:r>
      <w:r w:rsidR="00AC0E5E" w:rsidRPr="00264C15">
        <w:rPr>
          <w:lang w:val="uk-UA"/>
        </w:rPr>
        <w:t>(далі – Програма), затверджена</w:t>
      </w:r>
      <w:r w:rsidR="00AC0E5E">
        <w:rPr>
          <w:lang w:val="uk-UA"/>
        </w:rPr>
        <w:t xml:space="preserve"> </w:t>
      </w:r>
      <w:r w:rsidR="00AC0E5E" w:rsidRPr="00264C15">
        <w:rPr>
          <w:lang w:val="uk-UA"/>
        </w:rPr>
        <w:t>рішенням</w:t>
      </w:r>
      <w:r w:rsidR="00AC0E5E">
        <w:rPr>
          <w:lang w:val="uk-UA"/>
        </w:rPr>
        <w:t xml:space="preserve"> </w:t>
      </w:r>
      <w:r w:rsidR="00AC0E5E" w:rsidRPr="00264C15">
        <w:rPr>
          <w:lang w:val="uk-UA"/>
        </w:rPr>
        <w:t>Київської</w:t>
      </w:r>
      <w:r w:rsidR="00AC0E5E">
        <w:rPr>
          <w:lang w:val="uk-UA"/>
        </w:rPr>
        <w:t xml:space="preserve"> </w:t>
      </w:r>
      <w:r w:rsidR="00AC0E5E" w:rsidRPr="00264C15">
        <w:rPr>
          <w:lang w:val="uk-UA"/>
        </w:rPr>
        <w:t xml:space="preserve">обласної ради від </w:t>
      </w:r>
      <w:r w:rsidR="005819B8" w:rsidRPr="005819B8">
        <w:rPr>
          <w:lang w:val="uk-UA"/>
        </w:rPr>
        <w:t>15.10.2020 № 898-36-VII</w:t>
      </w:r>
      <w:r w:rsidR="00AC0E5E" w:rsidRPr="00264C15">
        <w:rPr>
          <w:lang w:val="uk-UA"/>
        </w:rPr>
        <w:t xml:space="preserve">. </w:t>
      </w:r>
    </w:p>
    <w:p w:rsidR="00AC0E5E" w:rsidRPr="00264C15" w:rsidRDefault="00AC0E5E">
      <w:pPr>
        <w:ind w:left="-15" w:right="0"/>
        <w:rPr>
          <w:sz w:val="16"/>
          <w:szCs w:val="16"/>
          <w:lang w:val="uk-UA"/>
        </w:rPr>
      </w:pPr>
    </w:p>
    <w:p w:rsidR="00AC0E5E" w:rsidRDefault="00AC0E5E">
      <w:pPr>
        <w:ind w:left="-15" w:right="0"/>
        <w:rPr>
          <w:lang w:val="uk-UA"/>
        </w:rPr>
      </w:pPr>
      <w:r w:rsidRPr="00264C15">
        <w:rPr>
          <w:lang w:val="uk-UA"/>
        </w:rPr>
        <w:t xml:space="preserve">Головною метою </w:t>
      </w:r>
      <w:r w:rsidR="005819B8" w:rsidRPr="005819B8">
        <w:rPr>
          <w:lang w:val="uk-UA"/>
        </w:rPr>
        <w:t>Київської обласної цільової програми підтримки підприємств спільної власності територіальних громад сіл, селищ, міст Київської області і запобігання їх</w:t>
      </w:r>
      <w:r w:rsidR="005819B8">
        <w:rPr>
          <w:lang w:val="uk-UA"/>
        </w:rPr>
        <w:t xml:space="preserve"> банкрутству на 2020-2022 роки </w:t>
      </w:r>
      <w:r w:rsidRPr="00264C15">
        <w:rPr>
          <w:lang w:val="uk-UA"/>
        </w:rPr>
        <w:t xml:space="preserve">(далі – Програма) є </w:t>
      </w:r>
      <w:r>
        <w:rPr>
          <w:lang w:val="uk-UA"/>
        </w:rPr>
        <w:t>визначення та реалізація комплексу взаємопов</w:t>
      </w:r>
      <w:r w:rsidRPr="00264C15">
        <w:rPr>
          <w:lang w:val="uk-UA"/>
        </w:rPr>
        <w:t>’</w:t>
      </w:r>
      <w:r>
        <w:rPr>
          <w:lang w:val="uk-UA"/>
        </w:rPr>
        <w:t>язаних завдань і заходів, спрямованих на поліпшення розвитку та підтримку діяльності підприємств (закладів, установ) спільної власності територіальних громад області, створення сприятливих умов для розвитку та забезпечення їх прибуткової діяльності, сприяння у здійсненні беззбиткової діяльності комунальних підприємств та збереження комунального майна шляхом надання фінансової підтримки комунальним підприємствам.</w:t>
      </w:r>
    </w:p>
    <w:p w:rsidR="00AC0E5E" w:rsidRPr="00037BE0" w:rsidRDefault="00AC0E5E">
      <w:pPr>
        <w:ind w:left="-15" w:right="0"/>
        <w:rPr>
          <w:sz w:val="16"/>
          <w:szCs w:val="16"/>
          <w:lang w:val="uk-UA"/>
        </w:rPr>
      </w:pPr>
    </w:p>
    <w:p w:rsidR="00AC0E5E" w:rsidRDefault="00AC0E5E">
      <w:pPr>
        <w:pStyle w:val="1"/>
        <w:ind w:left="976" w:hanging="281"/>
      </w:pPr>
      <w:r>
        <w:t>Замовник та відповідальний виконавець програми</w:t>
      </w:r>
    </w:p>
    <w:p w:rsidR="00AC0E5E" w:rsidRDefault="00AC0E5E">
      <w:pPr>
        <w:ind w:left="-15" w:right="0"/>
      </w:pPr>
      <w:proofErr w:type="spellStart"/>
      <w:r>
        <w:t>Ініціатор</w:t>
      </w:r>
      <w:proofErr w:type="spellEnd"/>
      <w:r>
        <w:rPr>
          <w:lang w:val="uk-UA"/>
        </w:rPr>
        <w:t xml:space="preserve"> </w:t>
      </w:r>
      <w:proofErr w:type="spellStart"/>
      <w:r>
        <w:t>розроблення</w:t>
      </w:r>
      <w:proofErr w:type="spellEnd"/>
      <w:r>
        <w:rPr>
          <w:lang w:val="uk-UA"/>
        </w:rPr>
        <w:t xml:space="preserve"> </w:t>
      </w:r>
      <w:proofErr w:type="spellStart"/>
      <w:r>
        <w:t>Програми</w:t>
      </w:r>
      <w:proofErr w:type="spellEnd"/>
      <w:r>
        <w:t xml:space="preserve"> – </w:t>
      </w:r>
      <w:proofErr w:type="spellStart"/>
      <w:r>
        <w:t>Київська</w:t>
      </w:r>
      <w:proofErr w:type="spellEnd"/>
      <w:r>
        <w:rPr>
          <w:lang w:val="uk-UA"/>
        </w:rPr>
        <w:t xml:space="preserve"> </w:t>
      </w:r>
      <w:proofErr w:type="spellStart"/>
      <w:r>
        <w:t>обласна</w:t>
      </w:r>
      <w:proofErr w:type="spellEnd"/>
      <w:r>
        <w:rPr>
          <w:lang w:val="uk-UA"/>
        </w:rPr>
        <w:t xml:space="preserve"> рада</w:t>
      </w:r>
      <w:r>
        <w:t xml:space="preserve">. </w:t>
      </w:r>
    </w:p>
    <w:p w:rsidR="00AC0E5E" w:rsidRDefault="00AC0E5E">
      <w:pPr>
        <w:spacing w:after="226"/>
        <w:ind w:left="-15" w:right="0"/>
      </w:pPr>
      <w:proofErr w:type="spellStart"/>
      <w:r>
        <w:t>Відповідальний</w:t>
      </w:r>
      <w:proofErr w:type="spellEnd"/>
      <w:r>
        <w:rPr>
          <w:lang w:val="uk-UA"/>
        </w:rPr>
        <w:t xml:space="preserve"> </w:t>
      </w:r>
      <w:proofErr w:type="spellStart"/>
      <w:r>
        <w:t>виконавець</w:t>
      </w:r>
      <w:proofErr w:type="spellEnd"/>
      <w:r>
        <w:rPr>
          <w:lang w:val="uk-UA"/>
        </w:rPr>
        <w:t xml:space="preserve"> </w:t>
      </w:r>
      <w:proofErr w:type="spellStart"/>
      <w:r>
        <w:t>Програми</w:t>
      </w:r>
      <w:proofErr w:type="spellEnd"/>
      <w:r>
        <w:t xml:space="preserve"> – Департамент </w:t>
      </w:r>
      <w:r w:rsidR="005819B8">
        <w:rPr>
          <w:lang w:val="uk-UA"/>
        </w:rPr>
        <w:t>економіки та цифровізації</w:t>
      </w:r>
      <w:r>
        <w:rPr>
          <w:lang w:val="uk-UA"/>
        </w:rPr>
        <w:t xml:space="preserve"> </w:t>
      </w:r>
      <w:proofErr w:type="spellStart"/>
      <w:r>
        <w:t>Київської</w:t>
      </w:r>
      <w:proofErr w:type="spellEnd"/>
      <w:r>
        <w:rPr>
          <w:lang w:val="uk-UA"/>
        </w:rPr>
        <w:t xml:space="preserve"> </w:t>
      </w:r>
      <w:proofErr w:type="spellStart"/>
      <w:r>
        <w:t>обласної</w:t>
      </w:r>
      <w:proofErr w:type="spellEnd"/>
      <w:r>
        <w:rPr>
          <w:lang w:val="uk-UA"/>
        </w:rPr>
        <w:t xml:space="preserve"> </w:t>
      </w:r>
      <w:proofErr w:type="spellStart"/>
      <w:r>
        <w:t>державної</w:t>
      </w:r>
      <w:proofErr w:type="spellEnd"/>
      <w:r>
        <w:rPr>
          <w:lang w:val="uk-UA"/>
        </w:rPr>
        <w:t xml:space="preserve"> </w:t>
      </w:r>
      <w:proofErr w:type="spellStart"/>
      <w:r>
        <w:t>адміністрації</w:t>
      </w:r>
      <w:proofErr w:type="spellEnd"/>
      <w:r>
        <w:t xml:space="preserve">. </w:t>
      </w:r>
    </w:p>
    <w:p w:rsidR="00AC0E5E" w:rsidRDefault="00AC0E5E">
      <w:pPr>
        <w:pStyle w:val="1"/>
        <w:ind w:left="976" w:hanging="281"/>
      </w:pPr>
      <w:r>
        <w:t>Найважливіші завдання, виконані у звітному періоді</w:t>
      </w:r>
    </w:p>
    <w:p w:rsidR="00AC0E5E" w:rsidRDefault="006B4CDB" w:rsidP="00141205">
      <w:pPr>
        <w:spacing w:after="36"/>
        <w:ind w:left="-15" w:right="0"/>
        <w:rPr>
          <w:lang w:val="uk-UA"/>
        </w:rPr>
      </w:pPr>
      <w:r>
        <w:rPr>
          <w:lang w:val="uk-UA"/>
        </w:rPr>
        <w:t>За 20</w:t>
      </w:r>
      <w:r w:rsidR="005819B8">
        <w:rPr>
          <w:lang w:val="uk-UA"/>
        </w:rPr>
        <w:t>20</w:t>
      </w:r>
      <w:r>
        <w:rPr>
          <w:lang w:val="uk-UA"/>
        </w:rPr>
        <w:t xml:space="preserve"> рік виконано два заходи</w:t>
      </w:r>
      <w:r w:rsidR="00AC0E5E" w:rsidRPr="00141205">
        <w:rPr>
          <w:lang w:val="uk-UA"/>
        </w:rPr>
        <w:t xml:space="preserve">, </w:t>
      </w:r>
      <w:r w:rsidR="00AC0E5E">
        <w:rPr>
          <w:lang w:val="uk-UA"/>
        </w:rPr>
        <w:t>а саме:</w:t>
      </w:r>
      <w:r w:rsidR="00AC0E5E" w:rsidRPr="00141205">
        <w:rPr>
          <w:lang w:val="uk-UA"/>
        </w:rPr>
        <w:t xml:space="preserve"> </w:t>
      </w:r>
    </w:p>
    <w:p w:rsidR="00AC0E5E" w:rsidRDefault="00AC0E5E" w:rsidP="007B285F">
      <w:pPr>
        <w:numPr>
          <w:ilvl w:val="0"/>
          <w:numId w:val="10"/>
        </w:numPr>
        <w:spacing w:after="36"/>
        <w:ind w:left="0" w:right="0" w:firstLine="360"/>
        <w:rPr>
          <w:lang w:val="uk-UA"/>
        </w:rPr>
      </w:pPr>
      <w:r w:rsidRPr="00141205">
        <w:rPr>
          <w:lang w:val="uk-UA"/>
        </w:rPr>
        <w:t>надан</w:t>
      </w:r>
      <w:r w:rsidR="006B4CDB">
        <w:rPr>
          <w:lang w:val="uk-UA"/>
        </w:rPr>
        <w:t>о</w:t>
      </w:r>
      <w:r w:rsidRPr="00141205">
        <w:rPr>
          <w:lang w:val="uk-UA"/>
        </w:rPr>
        <w:t xml:space="preserve"> фінансов</w:t>
      </w:r>
      <w:r w:rsidR="006B4CDB">
        <w:rPr>
          <w:lang w:val="uk-UA"/>
        </w:rPr>
        <w:t>у</w:t>
      </w:r>
      <w:r w:rsidRPr="00141205">
        <w:rPr>
          <w:lang w:val="uk-UA"/>
        </w:rPr>
        <w:t xml:space="preserve"> підтримк</w:t>
      </w:r>
      <w:r w:rsidR="006B4CDB">
        <w:rPr>
          <w:lang w:val="uk-UA"/>
        </w:rPr>
        <w:t>у</w:t>
      </w:r>
      <w:r w:rsidRPr="00141205">
        <w:rPr>
          <w:lang w:val="uk-UA"/>
        </w:rPr>
        <w:t xml:space="preserve"> комунальному підприємству Київської обласної ради «Управління сп</w:t>
      </w:r>
      <w:r>
        <w:rPr>
          <w:lang w:val="uk-UA"/>
        </w:rPr>
        <w:t xml:space="preserve">оруд» у сумі </w:t>
      </w:r>
      <w:r w:rsidR="007049BE" w:rsidRPr="007049BE">
        <w:rPr>
          <w:lang w:val="uk-UA"/>
        </w:rPr>
        <w:t>4594,3</w:t>
      </w:r>
      <w:r w:rsidR="007049BE">
        <w:rPr>
          <w:lang w:val="uk-UA"/>
        </w:rPr>
        <w:t xml:space="preserve"> </w:t>
      </w:r>
      <w:r>
        <w:rPr>
          <w:lang w:val="uk-UA"/>
        </w:rPr>
        <w:t>тис. грн;</w:t>
      </w:r>
    </w:p>
    <w:p w:rsidR="00AC0E5E" w:rsidRDefault="00AC0E5E" w:rsidP="007B285F">
      <w:pPr>
        <w:numPr>
          <w:ilvl w:val="0"/>
          <w:numId w:val="10"/>
        </w:numPr>
        <w:spacing w:after="36"/>
        <w:ind w:left="0" w:right="0" w:firstLine="360"/>
        <w:rPr>
          <w:szCs w:val="28"/>
          <w:lang w:val="uk-UA"/>
        </w:rPr>
      </w:pPr>
      <w:r>
        <w:rPr>
          <w:lang w:val="uk-UA"/>
        </w:rPr>
        <w:t>н</w:t>
      </w:r>
      <w:r w:rsidRPr="00141205">
        <w:rPr>
          <w:lang w:val="uk-UA"/>
        </w:rPr>
        <w:t>адан</w:t>
      </w:r>
      <w:r w:rsidR="006B4CDB">
        <w:rPr>
          <w:lang w:val="uk-UA"/>
        </w:rPr>
        <w:t>о</w:t>
      </w:r>
      <w:r w:rsidRPr="00141205">
        <w:rPr>
          <w:lang w:val="uk-UA"/>
        </w:rPr>
        <w:t xml:space="preserve"> фінансов</w:t>
      </w:r>
      <w:r w:rsidR="006B4CDB">
        <w:rPr>
          <w:lang w:val="uk-UA"/>
        </w:rPr>
        <w:t>у</w:t>
      </w:r>
      <w:r w:rsidRPr="00141205">
        <w:rPr>
          <w:lang w:val="uk-UA"/>
        </w:rPr>
        <w:t xml:space="preserve"> підтримк</w:t>
      </w:r>
      <w:r w:rsidR="006B4CDB">
        <w:rPr>
          <w:lang w:val="uk-UA"/>
        </w:rPr>
        <w:t>у</w:t>
      </w:r>
      <w:r w:rsidRPr="00141205">
        <w:rPr>
          <w:lang w:val="uk-UA"/>
        </w:rPr>
        <w:t xml:space="preserve"> </w:t>
      </w:r>
      <w:r w:rsidR="007B285F" w:rsidRPr="007B285F">
        <w:rPr>
          <w:lang w:val="uk-UA"/>
        </w:rPr>
        <w:t>комунально</w:t>
      </w:r>
      <w:r w:rsidR="004646EB">
        <w:rPr>
          <w:lang w:val="uk-UA"/>
        </w:rPr>
        <w:t>му</w:t>
      </w:r>
      <w:r w:rsidR="007B285F" w:rsidRPr="007B285F">
        <w:rPr>
          <w:lang w:val="uk-UA"/>
        </w:rPr>
        <w:t xml:space="preserve"> підприємств</w:t>
      </w:r>
      <w:r w:rsidR="004646EB">
        <w:rPr>
          <w:lang w:val="uk-UA"/>
        </w:rPr>
        <w:t>у</w:t>
      </w:r>
      <w:r w:rsidR="007B285F" w:rsidRPr="007B285F">
        <w:rPr>
          <w:lang w:val="uk-UA"/>
        </w:rPr>
        <w:t xml:space="preserve"> Киї</w:t>
      </w:r>
      <w:r w:rsidR="00C50B9B">
        <w:rPr>
          <w:lang w:val="uk-UA"/>
        </w:rPr>
        <w:t>вської обласної ради «Переяслав</w:t>
      </w:r>
      <w:r w:rsidR="007B285F" w:rsidRPr="007B285F">
        <w:rPr>
          <w:lang w:val="uk-UA"/>
        </w:rPr>
        <w:t>-</w:t>
      </w:r>
      <w:proofErr w:type="spellStart"/>
      <w:r w:rsidR="007B285F" w:rsidRPr="007B285F">
        <w:rPr>
          <w:lang w:val="uk-UA"/>
        </w:rPr>
        <w:t>Хмельницьктепломережа</w:t>
      </w:r>
      <w:proofErr w:type="spellEnd"/>
      <w:r w:rsidR="007B285F" w:rsidRPr="007B285F">
        <w:rPr>
          <w:lang w:val="uk-UA"/>
        </w:rPr>
        <w:t>» шляхом фінансової підтримки з метою поповнення обігових коштів для погашення заборгованості за розподіл природного газу та його споживання</w:t>
      </w:r>
      <w:r>
        <w:rPr>
          <w:szCs w:val="28"/>
          <w:lang w:val="uk-UA"/>
        </w:rPr>
        <w:t xml:space="preserve"> у сумі </w:t>
      </w:r>
      <w:r w:rsidR="007B285F" w:rsidRPr="007B285F">
        <w:rPr>
          <w:szCs w:val="28"/>
          <w:lang w:val="uk-UA"/>
        </w:rPr>
        <w:t>7107,0</w:t>
      </w:r>
      <w:r w:rsidR="007B285F">
        <w:rPr>
          <w:szCs w:val="28"/>
          <w:lang w:val="uk-UA"/>
        </w:rPr>
        <w:t xml:space="preserve"> тис. гривень.</w:t>
      </w:r>
    </w:p>
    <w:p w:rsidR="007B285F" w:rsidRDefault="007B285F" w:rsidP="00127D47">
      <w:pPr>
        <w:spacing w:after="36"/>
        <w:ind w:left="-15" w:right="0"/>
        <w:rPr>
          <w:lang w:val="uk-UA"/>
        </w:rPr>
      </w:pPr>
    </w:p>
    <w:p w:rsidR="00A01128" w:rsidRDefault="00A01128" w:rsidP="00127D47">
      <w:pPr>
        <w:spacing w:after="36"/>
        <w:ind w:left="-15" w:right="0"/>
        <w:rPr>
          <w:lang w:val="uk-UA"/>
        </w:rPr>
      </w:pPr>
    </w:p>
    <w:p w:rsidR="00A01128" w:rsidRDefault="00A01128" w:rsidP="00127D47">
      <w:pPr>
        <w:spacing w:after="36"/>
        <w:ind w:left="-15" w:right="0"/>
        <w:rPr>
          <w:lang w:val="uk-UA"/>
        </w:rPr>
      </w:pPr>
    </w:p>
    <w:p w:rsidR="007B285F" w:rsidRDefault="007B285F" w:rsidP="00127D47">
      <w:pPr>
        <w:spacing w:after="36"/>
        <w:ind w:left="-15" w:right="0"/>
        <w:rPr>
          <w:lang w:val="uk-UA"/>
        </w:rPr>
      </w:pPr>
    </w:p>
    <w:p w:rsidR="00AC0E5E" w:rsidRPr="001674D1" w:rsidRDefault="00AC0E5E">
      <w:pPr>
        <w:pStyle w:val="1"/>
        <w:spacing w:after="152"/>
        <w:ind w:left="0" w:firstLine="708"/>
      </w:pPr>
      <w:r w:rsidRPr="001674D1">
        <w:lastRenderedPageBreak/>
        <w:t>Заплановані</w:t>
      </w:r>
      <w:r>
        <w:t xml:space="preserve"> </w:t>
      </w:r>
      <w:r w:rsidRPr="001674D1">
        <w:t>обсяги та джерела</w:t>
      </w:r>
      <w:r>
        <w:t xml:space="preserve"> </w:t>
      </w:r>
      <w:r w:rsidRPr="001674D1">
        <w:t>фінансування</w:t>
      </w:r>
      <w:r>
        <w:t xml:space="preserve"> </w:t>
      </w:r>
      <w:r w:rsidRPr="001674D1">
        <w:t>програми, визначені у паспорті</w:t>
      </w:r>
      <w:r>
        <w:t xml:space="preserve"> </w:t>
      </w:r>
      <w:r w:rsidRPr="001674D1">
        <w:t xml:space="preserve">програми </w:t>
      </w:r>
      <w:r>
        <w:t>за</w:t>
      </w:r>
      <w:r w:rsidR="002020D3">
        <w:t xml:space="preserve"> 2020</w:t>
      </w:r>
      <w:r w:rsidRPr="00E31062">
        <w:t xml:space="preserve"> р</w:t>
      </w:r>
      <w:r>
        <w:t>і</w:t>
      </w:r>
      <w:r w:rsidRPr="00E31062">
        <w:t>к</w:t>
      </w:r>
    </w:p>
    <w:p w:rsidR="00137B5E" w:rsidRDefault="00137B5E">
      <w:pPr>
        <w:spacing w:after="0" w:line="259" w:lineRule="auto"/>
        <w:ind w:left="708" w:right="0" w:firstLine="0"/>
        <w:jc w:val="left"/>
        <w:rPr>
          <w:sz w:val="16"/>
          <w:szCs w:val="16"/>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3544"/>
      </w:tblGrid>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Обсяг ресурсів, усього,</w:t>
            </w:r>
          </w:p>
        </w:tc>
        <w:tc>
          <w:tcPr>
            <w:tcW w:w="3544" w:type="dxa"/>
            <w:vAlign w:val="center"/>
          </w:tcPr>
          <w:p w:rsidR="00137B5E" w:rsidRPr="00137B5E" w:rsidRDefault="00137B5E" w:rsidP="00137B5E">
            <w:pPr>
              <w:widowControl w:val="0"/>
              <w:spacing w:after="0" w:line="240" w:lineRule="auto"/>
              <w:ind w:right="-49" w:firstLine="0"/>
              <w:jc w:val="center"/>
              <w:rPr>
                <w:color w:val="auto"/>
                <w:szCs w:val="28"/>
                <w:lang w:val="uk-UA" w:eastAsia="uk-UA"/>
              </w:rPr>
            </w:pPr>
            <w:r w:rsidRPr="00137B5E">
              <w:rPr>
                <w:color w:val="auto"/>
                <w:szCs w:val="28"/>
                <w:lang w:val="uk-UA" w:eastAsia="uk-UA"/>
              </w:rPr>
              <w:t>11701,3</w:t>
            </w:r>
          </w:p>
        </w:tc>
      </w:tr>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обласний бюджет </w:t>
            </w:r>
          </w:p>
        </w:tc>
        <w:tc>
          <w:tcPr>
            <w:tcW w:w="3544" w:type="dxa"/>
            <w:vAlign w:val="center"/>
          </w:tcPr>
          <w:p w:rsidR="00137B5E" w:rsidRPr="00137B5E" w:rsidRDefault="00137B5E" w:rsidP="00137B5E">
            <w:pPr>
              <w:widowControl w:val="0"/>
              <w:spacing w:after="0" w:line="240" w:lineRule="auto"/>
              <w:ind w:right="-49" w:firstLine="0"/>
              <w:jc w:val="center"/>
              <w:rPr>
                <w:color w:val="auto"/>
                <w:szCs w:val="28"/>
                <w:lang w:val="uk-UA" w:eastAsia="uk-UA"/>
              </w:rPr>
            </w:pPr>
            <w:r w:rsidRPr="00137B5E">
              <w:rPr>
                <w:color w:val="auto"/>
                <w:szCs w:val="28"/>
                <w:lang w:val="uk-UA" w:eastAsia="uk-UA"/>
              </w:rPr>
              <w:t>11701,3</w:t>
            </w:r>
          </w:p>
        </w:tc>
      </w:tr>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державний бюджет</w:t>
            </w:r>
          </w:p>
        </w:tc>
        <w:tc>
          <w:tcPr>
            <w:tcW w:w="3544" w:type="dxa"/>
            <w:vAlign w:val="center"/>
          </w:tcPr>
          <w:p w:rsidR="00137B5E" w:rsidRPr="00137B5E" w:rsidRDefault="00137B5E" w:rsidP="00137B5E">
            <w:pPr>
              <w:widowControl w:val="0"/>
              <w:spacing w:after="0" w:line="240" w:lineRule="auto"/>
              <w:ind w:right="-49" w:firstLine="0"/>
              <w:jc w:val="center"/>
              <w:rPr>
                <w:bCs/>
                <w:color w:val="auto"/>
                <w:szCs w:val="28"/>
                <w:lang w:val="uk-UA" w:eastAsia="uk-UA"/>
              </w:rPr>
            </w:pPr>
            <w:r w:rsidRPr="00137B5E">
              <w:rPr>
                <w:bCs/>
                <w:color w:val="auto"/>
                <w:szCs w:val="28"/>
                <w:lang w:val="uk-UA" w:eastAsia="uk-UA"/>
              </w:rPr>
              <w:t>0</w:t>
            </w:r>
          </w:p>
        </w:tc>
      </w:tr>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районні, міські (міст обласного значення), об’єднаних територіальних громад бюджети </w:t>
            </w:r>
          </w:p>
        </w:tc>
        <w:tc>
          <w:tcPr>
            <w:tcW w:w="3544" w:type="dxa"/>
            <w:vAlign w:val="center"/>
          </w:tcPr>
          <w:p w:rsidR="00137B5E" w:rsidRPr="00137B5E" w:rsidRDefault="00137B5E" w:rsidP="00137B5E">
            <w:pPr>
              <w:widowControl w:val="0"/>
              <w:spacing w:after="0" w:line="240" w:lineRule="auto"/>
              <w:ind w:right="-49" w:firstLine="0"/>
              <w:jc w:val="center"/>
              <w:rPr>
                <w:bCs/>
                <w:color w:val="auto"/>
                <w:szCs w:val="28"/>
                <w:lang w:val="uk-UA" w:eastAsia="uk-UA"/>
              </w:rPr>
            </w:pPr>
            <w:r w:rsidRPr="00137B5E">
              <w:rPr>
                <w:bCs/>
                <w:color w:val="auto"/>
                <w:szCs w:val="28"/>
                <w:lang w:val="uk-UA" w:eastAsia="uk-UA"/>
              </w:rPr>
              <w:t>0</w:t>
            </w:r>
          </w:p>
        </w:tc>
      </w:tr>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бюджети сіл, селищ, міст районного значення</w:t>
            </w:r>
          </w:p>
        </w:tc>
        <w:tc>
          <w:tcPr>
            <w:tcW w:w="3544" w:type="dxa"/>
            <w:vAlign w:val="center"/>
          </w:tcPr>
          <w:p w:rsidR="00137B5E" w:rsidRPr="00137B5E" w:rsidRDefault="00137B5E" w:rsidP="00137B5E">
            <w:pPr>
              <w:widowControl w:val="0"/>
              <w:spacing w:after="0" w:line="240" w:lineRule="auto"/>
              <w:ind w:right="-49" w:firstLine="0"/>
              <w:jc w:val="center"/>
              <w:rPr>
                <w:bCs/>
                <w:color w:val="auto"/>
                <w:szCs w:val="28"/>
                <w:lang w:val="uk-UA" w:eastAsia="uk-UA"/>
              </w:rPr>
            </w:pPr>
            <w:r w:rsidRPr="00137B5E">
              <w:rPr>
                <w:bCs/>
                <w:color w:val="auto"/>
                <w:szCs w:val="28"/>
                <w:lang w:val="uk-UA" w:eastAsia="uk-UA"/>
              </w:rPr>
              <w:t>0</w:t>
            </w:r>
          </w:p>
        </w:tc>
      </w:tr>
      <w:tr w:rsidR="00137B5E" w:rsidRPr="00137B5E" w:rsidTr="00C34AA0">
        <w:tc>
          <w:tcPr>
            <w:tcW w:w="6487" w:type="dxa"/>
          </w:tcPr>
          <w:p w:rsidR="00137B5E" w:rsidRPr="00137B5E" w:rsidRDefault="00137B5E" w:rsidP="00137B5E">
            <w:pPr>
              <w:widowControl w:val="0"/>
              <w:spacing w:after="0" w:line="240" w:lineRule="auto"/>
              <w:ind w:right="-49" w:firstLine="0"/>
              <w:jc w:val="left"/>
              <w:rPr>
                <w:bCs/>
                <w:color w:val="auto"/>
                <w:szCs w:val="28"/>
                <w:lang w:val="uk-UA" w:eastAsia="uk-UA"/>
              </w:rPr>
            </w:pPr>
            <w:r w:rsidRPr="00137B5E">
              <w:rPr>
                <w:bCs/>
                <w:color w:val="auto"/>
                <w:szCs w:val="28"/>
                <w:lang w:val="uk-UA" w:eastAsia="uk-UA"/>
              </w:rPr>
              <w:t>кошти небюджетних джерел </w:t>
            </w:r>
          </w:p>
        </w:tc>
        <w:tc>
          <w:tcPr>
            <w:tcW w:w="3544" w:type="dxa"/>
            <w:vAlign w:val="center"/>
          </w:tcPr>
          <w:p w:rsidR="00137B5E" w:rsidRPr="00137B5E" w:rsidRDefault="00137B5E" w:rsidP="00137B5E">
            <w:pPr>
              <w:widowControl w:val="0"/>
              <w:spacing w:after="0" w:line="240" w:lineRule="auto"/>
              <w:ind w:right="-49" w:firstLine="0"/>
              <w:jc w:val="center"/>
              <w:rPr>
                <w:bCs/>
                <w:color w:val="auto"/>
                <w:szCs w:val="28"/>
                <w:lang w:val="uk-UA" w:eastAsia="uk-UA"/>
              </w:rPr>
            </w:pPr>
            <w:r w:rsidRPr="00137B5E">
              <w:rPr>
                <w:bCs/>
                <w:color w:val="auto"/>
                <w:szCs w:val="28"/>
                <w:lang w:val="uk-UA" w:eastAsia="uk-UA"/>
              </w:rPr>
              <w:t>0</w:t>
            </w:r>
          </w:p>
        </w:tc>
      </w:tr>
    </w:tbl>
    <w:p w:rsidR="00137B5E" w:rsidRDefault="00137B5E">
      <w:pPr>
        <w:spacing w:after="0" w:line="259" w:lineRule="auto"/>
        <w:ind w:left="708" w:right="0" w:firstLine="0"/>
        <w:jc w:val="left"/>
        <w:rPr>
          <w:sz w:val="16"/>
          <w:szCs w:val="16"/>
          <w:lang w:val="uk-UA"/>
        </w:rPr>
      </w:pPr>
    </w:p>
    <w:p w:rsidR="00AC0E5E" w:rsidRPr="00061364" w:rsidRDefault="00AC0E5E" w:rsidP="009874D8">
      <w:pPr>
        <w:pStyle w:val="1"/>
        <w:numPr>
          <w:ilvl w:val="0"/>
          <w:numId w:val="0"/>
        </w:numPr>
        <w:jc w:val="both"/>
        <w:rPr>
          <w:sz w:val="18"/>
        </w:rPr>
      </w:pPr>
    </w:p>
    <w:p w:rsidR="00AC0E5E" w:rsidRDefault="00AC0E5E" w:rsidP="00D52AF1">
      <w:pPr>
        <w:pStyle w:val="1"/>
        <w:ind w:left="0" w:firstLine="708"/>
        <w:jc w:val="both"/>
      </w:pPr>
      <w:r>
        <w:t>Фактичні обсяги та джерела фінансування програми у звітному періоді</w:t>
      </w:r>
    </w:p>
    <w:p w:rsidR="00AC0E5E" w:rsidRPr="00DE4BD5" w:rsidRDefault="00AC0E5E" w:rsidP="008D2707">
      <w:pPr>
        <w:shd w:val="clear" w:color="auto" w:fill="FFFFFF"/>
        <w:ind w:firstLine="567"/>
        <w:textAlignment w:val="baseline"/>
        <w:rPr>
          <w:szCs w:val="28"/>
          <w:lang w:val="uk-UA"/>
        </w:rPr>
      </w:pPr>
      <w:r w:rsidRPr="00DE4BD5">
        <w:rPr>
          <w:szCs w:val="28"/>
          <w:lang w:val="uk-UA"/>
        </w:rPr>
        <w:t xml:space="preserve">за рахунок коштів державного бюджету </w:t>
      </w:r>
      <w:r w:rsidR="00266A5C">
        <w:rPr>
          <w:szCs w:val="28"/>
          <w:lang w:val="uk-UA"/>
        </w:rPr>
        <w:t>0,0</w:t>
      </w:r>
      <w:r w:rsidRPr="00DE4BD5">
        <w:rPr>
          <w:szCs w:val="28"/>
          <w:lang w:val="uk-UA"/>
        </w:rPr>
        <w:t xml:space="preserve"> тис. гривень (КПКВ) (у тому числі капітальні вкладення</w:t>
      </w:r>
      <w:r w:rsidR="00266A5C">
        <w:rPr>
          <w:szCs w:val="28"/>
          <w:lang w:val="uk-UA"/>
        </w:rPr>
        <w:t xml:space="preserve"> 0,0</w:t>
      </w:r>
      <w:r w:rsidRPr="00DE4BD5">
        <w:rPr>
          <w:szCs w:val="28"/>
          <w:lang w:val="uk-UA"/>
        </w:rPr>
        <w:t xml:space="preserve"> тис. гривень (розшифрувати), наукові дослідження та розробки </w:t>
      </w:r>
      <w:r w:rsidR="00266A5C">
        <w:rPr>
          <w:szCs w:val="28"/>
          <w:lang w:val="uk-UA"/>
        </w:rPr>
        <w:t>0,0</w:t>
      </w:r>
      <w:r w:rsidRPr="00DE4BD5">
        <w:rPr>
          <w:szCs w:val="28"/>
          <w:lang w:val="uk-UA"/>
        </w:rPr>
        <w:t xml:space="preserve"> тис. гривень, інші напрями використання коштів державного бюджету</w:t>
      </w:r>
      <w:r w:rsidR="00266A5C">
        <w:rPr>
          <w:szCs w:val="28"/>
          <w:lang w:val="uk-UA"/>
        </w:rPr>
        <w:t xml:space="preserve"> 0,0</w:t>
      </w:r>
      <w:r w:rsidRPr="00DE4BD5">
        <w:rPr>
          <w:szCs w:val="28"/>
          <w:lang w:val="uk-UA"/>
        </w:rPr>
        <w:t xml:space="preserve"> тис. гривень (розшифрувати);</w:t>
      </w:r>
    </w:p>
    <w:p w:rsidR="00AC0E5E" w:rsidRPr="00DE4BD5" w:rsidRDefault="00AC0E5E" w:rsidP="0024229E">
      <w:pPr>
        <w:shd w:val="clear" w:color="auto" w:fill="FFFFFF"/>
        <w:ind w:firstLine="567"/>
        <w:textAlignment w:val="baseline"/>
        <w:rPr>
          <w:sz w:val="16"/>
          <w:szCs w:val="16"/>
          <w:lang w:val="uk-UA"/>
        </w:rPr>
      </w:pPr>
    </w:p>
    <w:p w:rsidR="00AC0E5E" w:rsidRPr="008D2707" w:rsidRDefault="00AC0E5E" w:rsidP="008D2707">
      <w:pPr>
        <w:shd w:val="clear" w:color="auto" w:fill="FFFFFF"/>
        <w:ind w:firstLine="567"/>
        <w:textAlignment w:val="baseline"/>
        <w:rPr>
          <w:szCs w:val="28"/>
          <w:lang w:val="uk-UA"/>
        </w:rPr>
      </w:pPr>
      <w:r w:rsidRPr="008D2707">
        <w:rPr>
          <w:szCs w:val="28"/>
          <w:lang w:val="uk-UA"/>
        </w:rPr>
        <w:t xml:space="preserve">за рахунок коштів обласного бюджету </w:t>
      </w:r>
      <w:r w:rsidR="008F59FB">
        <w:rPr>
          <w:szCs w:val="28"/>
          <w:lang w:val="uk-UA"/>
        </w:rPr>
        <w:t>11701,3</w:t>
      </w:r>
      <w:r w:rsidRPr="008D2707">
        <w:rPr>
          <w:szCs w:val="28"/>
          <w:lang w:val="uk-UA"/>
        </w:rPr>
        <w:t xml:space="preserve"> тис. гривень (КПКВ</w:t>
      </w:r>
      <w:r>
        <w:rPr>
          <w:szCs w:val="28"/>
          <w:lang w:val="uk-UA"/>
        </w:rPr>
        <w:t xml:space="preserve">К </w:t>
      </w:r>
      <w:r w:rsidR="000C6A36">
        <w:rPr>
          <w:szCs w:val="28"/>
          <w:lang w:val="uk-UA"/>
        </w:rPr>
        <w:t>2717693)</w:t>
      </w:r>
      <w:r w:rsidRPr="008D2707">
        <w:rPr>
          <w:szCs w:val="28"/>
          <w:lang w:val="uk-UA"/>
        </w:rPr>
        <w:t xml:space="preserve"> (у тому числі капітальні вкладення </w:t>
      </w:r>
      <w:r w:rsidR="000C6A36">
        <w:rPr>
          <w:szCs w:val="28"/>
          <w:lang w:val="uk-UA"/>
        </w:rPr>
        <w:t>0,0</w:t>
      </w:r>
      <w:r w:rsidRPr="008D2707">
        <w:rPr>
          <w:szCs w:val="28"/>
          <w:lang w:val="uk-UA"/>
        </w:rPr>
        <w:t xml:space="preserve"> тис. гривень (розшифрувати), наукові дослідження та розробки </w:t>
      </w:r>
      <w:r w:rsidR="000C6A36">
        <w:rPr>
          <w:szCs w:val="28"/>
          <w:lang w:val="uk-UA"/>
        </w:rPr>
        <w:t>0,0</w:t>
      </w:r>
      <w:r w:rsidRPr="008D2707">
        <w:rPr>
          <w:szCs w:val="28"/>
          <w:lang w:val="uk-UA"/>
        </w:rPr>
        <w:t xml:space="preserve"> тис. гривень, інші напрями використання коштів обласного бюджету</w:t>
      </w:r>
      <w:r>
        <w:rPr>
          <w:szCs w:val="28"/>
          <w:lang w:val="uk-UA"/>
        </w:rPr>
        <w:t xml:space="preserve"> </w:t>
      </w:r>
      <w:r w:rsidR="000C6A36">
        <w:rPr>
          <w:szCs w:val="28"/>
          <w:lang w:val="uk-UA"/>
        </w:rPr>
        <w:t>0,0</w:t>
      </w:r>
      <w:r w:rsidRPr="008D2707">
        <w:rPr>
          <w:szCs w:val="28"/>
          <w:lang w:val="uk-UA"/>
        </w:rPr>
        <w:t xml:space="preserve"> тис. гривень (КПКВ</w:t>
      </w:r>
      <w:r>
        <w:rPr>
          <w:szCs w:val="28"/>
          <w:lang w:val="uk-UA"/>
        </w:rPr>
        <w:t>К</w:t>
      </w:r>
      <w:r w:rsidRPr="008D2707">
        <w:rPr>
          <w:szCs w:val="28"/>
          <w:lang w:val="uk-UA"/>
        </w:rPr>
        <w:t>)</w:t>
      </w:r>
      <w:r>
        <w:rPr>
          <w:szCs w:val="28"/>
          <w:lang w:val="uk-UA"/>
        </w:rPr>
        <w:t>, внески до статутного капіталу об</w:t>
      </w:r>
      <w:r w:rsidRPr="008D2707">
        <w:rPr>
          <w:szCs w:val="28"/>
          <w:lang w:val="uk-UA"/>
        </w:rPr>
        <w:t>’</w:t>
      </w:r>
      <w:r>
        <w:rPr>
          <w:szCs w:val="28"/>
          <w:lang w:val="uk-UA"/>
        </w:rPr>
        <w:t>єктів</w:t>
      </w:r>
      <w:r w:rsidR="00D716DB">
        <w:rPr>
          <w:szCs w:val="28"/>
          <w:lang w:val="uk-UA"/>
        </w:rPr>
        <w:t xml:space="preserve"> 0,0</w:t>
      </w:r>
      <w:r>
        <w:rPr>
          <w:szCs w:val="28"/>
          <w:lang w:val="uk-UA"/>
        </w:rPr>
        <w:t xml:space="preserve"> тис. гривень (</w:t>
      </w:r>
      <w:r w:rsidRPr="008D2707">
        <w:rPr>
          <w:szCs w:val="28"/>
          <w:lang w:val="uk-UA"/>
        </w:rPr>
        <w:t>КПКВ</w:t>
      </w:r>
      <w:r w:rsidR="008D2707">
        <w:rPr>
          <w:szCs w:val="28"/>
          <w:lang w:val="uk-UA"/>
        </w:rPr>
        <w:t xml:space="preserve">К </w:t>
      </w:r>
      <w:r>
        <w:rPr>
          <w:szCs w:val="28"/>
          <w:lang w:val="uk-UA"/>
        </w:rPr>
        <w:t>)</w:t>
      </w:r>
      <w:r w:rsidRPr="008D2707">
        <w:rPr>
          <w:szCs w:val="28"/>
          <w:lang w:val="uk-UA"/>
        </w:rPr>
        <w:t>;</w:t>
      </w:r>
    </w:p>
    <w:p w:rsidR="00AC0E5E" w:rsidRPr="008D2707" w:rsidRDefault="00AC0E5E" w:rsidP="0024229E">
      <w:pPr>
        <w:shd w:val="clear" w:color="auto" w:fill="FFFFFF"/>
        <w:ind w:firstLine="567"/>
        <w:textAlignment w:val="baseline"/>
        <w:rPr>
          <w:sz w:val="16"/>
          <w:szCs w:val="16"/>
          <w:lang w:val="uk-UA"/>
        </w:rPr>
      </w:pPr>
    </w:p>
    <w:p w:rsidR="00AC0E5E" w:rsidRPr="00DE4BD5" w:rsidRDefault="00AC0E5E" w:rsidP="008D2707">
      <w:pPr>
        <w:shd w:val="clear" w:color="auto" w:fill="FFFFFF"/>
        <w:ind w:firstLine="567"/>
        <w:textAlignment w:val="baseline"/>
        <w:rPr>
          <w:szCs w:val="28"/>
          <w:lang w:val="uk-UA"/>
        </w:rPr>
      </w:pPr>
      <w:r w:rsidRPr="00DE4BD5">
        <w:rPr>
          <w:szCs w:val="28"/>
          <w:lang w:val="uk-UA"/>
        </w:rPr>
        <w:t xml:space="preserve">за рахунок місцевих бюджетів </w:t>
      </w:r>
      <w:r w:rsidR="00D716DB">
        <w:rPr>
          <w:szCs w:val="28"/>
          <w:lang w:val="uk-UA"/>
        </w:rPr>
        <w:t>0,0</w:t>
      </w:r>
      <w:r w:rsidRPr="00DE4BD5">
        <w:rPr>
          <w:szCs w:val="28"/>
          <w:lang w:val="uk-UA"/>
        </w:rPr>
        <w:t xml:space="preserve"> тис. гривень (КПКВ) (у тому числі капітальні вкладення </w:t>
      </w:r>
      <w:r w:rsidR="00D716DB">
        <w:rPr>
          <w:szCs w:val="28"/>
          <w:lang w:val="uk-UA"/>
        </w:rPr>
        <w:t>0,0</w:t>
      </w:r>
      <w:r w:rsidRPr="00DE4BD5">
        <w:rPr>
          <w:szCs w:val="28"/>
          <w:lang w:val="uk-UA"/>
        </w:rPr>
        <w:t xml:space="preserve"> тис. гривень (розшифрувати), наукові дослідження та розробки </w:t>
      </w:r>
      <w:r w:rsidR="00D716DB">
        <w:rPr>
          <w:szCs w:val="28"/>
          <w:lang w:val="uk-UA"/>
        </w:rPr>
        <w:t>0,0</w:t>
      </w:r>
      <w:r w:rsidRPr="00DE4BD5">
        <w:rPr>
          <w:szCs w:val="28"/>
          <w:lang w:val="uk-UA"/>
        </w:rPr>
        <w:t xml:space="preserve"> тис. гривень, інші напрями використання коштів місцевих бюджетів</w:t>
      </w:r>
      <w:r w:rsidR="000976F0">
        <w:rPr>
          <w:szCs w:val="28"/>
          <w:lang w:val="uk-UA"/>
        </w:rPr>
        <w:t xml:space="preserve"> 0,0</w:t>
      </w:r>
      <w:r w:rsidRPr="00DE4BD5">
        <w:rPr>
          <w:szCs w:val="28"/>
          <w:lang w:val="uk-UA"/>
        </w:rPr>
        <w:t xml:space="preserve"> тис. гривень (розшифрувати);</w:t>
      </w:r>
    </w:p>
    <w:p w:rsidR="00AC0E5E" w:rsidRPr="00DE4BD5" w:rsidRDefault="00AC0E5E" w:rsidP="0024229E">
      <w:pPr>
        <w:shd w:val="clear" w:color="auto" w:fill="FFFFFF"/>
        <w:ind w:firstLine="567"/>
        <w:textAlignment w:val="baseline"/>
        <w:rPr>
          <w:sz w:val="16"/>
          <w:szCs w:val="16"/>
          <w:lang w:val="uk-UA"/>
        </w:rPr>
      </w:pPr>
    </w:p>
    <w:p w:rsidR="00AC0E5E" w:rsidRPr="00DE4BD5" w:rsidRDefault="00AC0E5E" w:rsidP="00932235">
      <w:pPr>
        <w:shd w:val="clear" w:color="auto" w:fill="FFFFFF"/>
        <w:ind w:firstLine="567"/>
        <w:textAlignment w:val="baseline"/>
        <w:rPr>
          <w:szCs w:val="28"/>
          <w:lang w:val="uk-UA"/>
        </w:rPr>
      </w:pPr>
      <w:r w:rsidRPr="00DE4BD5">
        <w:rPr>
          <w:szCs w:val="28"/>
          <w:lang w:val="uk-UA"/>
        </w:rPr>
        <w:t>інші джерела фінансування (власні кошти виконавця, гранти, з</w:t>
      </w:r>
      <w:r w:rsidR="000976F0">
        <w:rPr>
          <w:szCs w:val="28"/>
          <w:lang w:val="uk-UA"/>
        </w:rPr>
        <w:t>алучені кредити та інші кошти) 0,0</w:t>
      </w:r>
      <w:r w:rsidRPr="00DE4BD5">
        <w:rPr>
          <w:szCs w:val="28"/>
          <w:lang w:val="uk-UA"/>
        </w:rPr>
        <w:t xml:space="preserve"> тис. гривень (у тому числі капітальні вкладення </w:t>
      </w:r>
      <w:r w:rsidR="000976F0">
        <w:rPr>
          <w:szCs w:val="28"/>
          <w:lang w:val="uk-UA"/>
        </w:rPr>
        <w:br/>
        <w:t>0,0</w:t>
      </w:r>
      <w:r w:rsidR="000976F0" w:rsidRPr="00DE4BD5">
        <w:rPr>
          <w:szCs w:val="28"/>
          <w:lang w:val="uk-UA"/>
        </w:rPr>
        <w:t xml:space="preserve"> </w:t>
      </w:r>
      <w:r w:rsidRPr="00DE4BD5">
        <w:rPr>
          <w:szCs w:val="28"/>
          <w:lang w:val="uk-UA"/>
        </w:rPr>
        <w:t xml:space="preserve">тис. гривень (розшифрувати), наукові дослідження та розробки </w:t>
      </w:r>
      <w:r w:rsidR="000976F0">
        <w:rPr>
          <w:szCs w:val="28"/>
          <w:lang w:val="uk-UA"/>
        </w:rPr>
        <w:t>0,0</w:t>
      </w:r>
      <w:r w:rsidR="000976F0" w:rsidRPr="00DE4BD5">
        <w:rPr>
          <w:szCs w:val="28"/>
          <w:lang w:val="uk-UA"/>
        </w:rPr>
        <w:t xml:space="preserve"> </w:t>
      </w:r>
      <w:r w:rsidRPr="00DE4BD5">
        <w:rPr>
          <w:szCs w:val="28"/>
          <w:lang w:val="uk-UA"/>
        </w:rPr>
        <w:t>тис. гривень, інші напрями використання коштів державного бюджету</w:t>
      </w:r>
      <w:r w:rsidR="000976F0">
        <w:rPr>
          <w:szCs w:val="28"/>
          <w:lang w:val="uk-UA"/>
        </w:rPr>
        <w:t xml:space="preserve"> </w:t>
      </w:r>
      <w:r w:rsidR="000976F0" w:rsidRPr="000976F0">
        <w:rPr>
          <w:szCs w:val="28"/>
          <w:lang w:val="uk-UA"/>
        </w:rPr>
        <w:t xml:space="preserve">0,0 </w:t>
      </w:r>
      <w:r w:rsidRPr="00DE4BD5">
        <w:rPr>
          <w:szCs w:val="28"/>
          <w:lang w:val="uk-UA"/>
        </w:rPr>
        <w:t>тис. гривень (розшифрувати).</w:t>
      </w:r>
    </w:p>
    <w:p w:rsidR="00AC0E5E" w:rsidRPr="00DE4BD5" w:rsidRDefault="00AC0E5E">
      <w:pPr>
        <w:spacing w:after="38" w:line="259" w:lineRule="auto"/>
        <w:ind w:left="708" w:right="0" w:firstLine="0"/>
        <w:jc w:val="left"/>
        <w:rPr>
          <w:sz w:val="20"/>
          <w:lang w:val="uk-UA"/>
        </w:rPr>
      </w:pPr>
    </w:p>
    <w:p w:rsidR="00AC0E5E" w:rsidRPr="004E4CEC" w:rsidRDefault="00AC0E5E" w:rsidP="00293885">
      <w:pPr>
        <w:pStyle w:val="1"/>
        <w:ind w:left="0" w:firstLine="567"/>
      </w:pPr>
      <w:r>
        <w:t>К</w:t>
      </w:r>
      <w:r w:rsidRPr="004E4CEC">
        <w:t>асові</w:t>
      </w:r>
      <w:r>
        <w:t xml:space="preserve"> </w:t>
      </w:r>
      <w:r w:rsidRPr="004E4CEC">
        <w:t>видатки</w:t>
      </w:r>
      <w:r>
        <w:t xml:space="preserve"> </w:t>
      </w:r>
      <w:r w:rsidRPr="004E4CEC">
        <w:t>програми у звітному</w:t>
      </w:r>
      <w:r>
        <w:t xml:space="preserve"> </w:t>
      </w:r>
      <w:r w:rsidRPr="004E4CEC">
        <w:t>періоді з додатковою</w:t>
      </w:r>
      <w:r>
        <w:t xml:space="preserve"> </w:t>
      </w:r>
      <w:r w:rsidRPr="004E4CEC">
        <w:t>інформацією</w:t>
      </w:r>
      <w:r>
        <w:t xml:space="preserve"> </w:t>
      </w:r>
      <w:r w:rsidRPr="004E4CEC">
        <w:t>щодо</w:t>
      </w:r>
      <w:r>
        <w:t xml:space="preserve"> </w:t>
      </w:r>
      <w:r w:rsidRPr="004E4CEC">
        <w:t>напрямків</w:t>
      </w:r>
      <w:r>
        <w:t xml:space="preserve"> </w:t>
      </w:r>
      <w:r w:rsidRPr="004E4CEC">
        <w:t>спрямування</w:t>
      </w:r>
      <w:r>
        <w:t xml:space="preserve"> </w:t>
      </w:r>
      <w:r w:rsidRPr="004E4CEC">
        <w:t xml:space="preserve">коштів у розрізі КЕКВ </w:t>
      </w:r>
    </w:p>
    <w:p w:rsidR="00E42656" w:rsidRDefault="006A417B" w:rsidP="00E27524">
      <w:pPr>
        <w:shd w:val="clear" w:color="auto" w:fill="FFFFFF"/>
        <w:ind w:firstLine="567"/>
        <w:textAlignment w:val="baseline"/>
        <w:rPr>
          <w:szCs w:val="28"/>
          <w:lang w:val="uk-UA"/>
        </w:rPr>
      </w:pPr>
      <w:r w:rsidRPr="006A417B">
        <w:rPr>
          <w:szCs w:val="28"/>
          <w:lang w:val="uk-UA"/>
        </w:rPr>
        <w:t>за рахунок коштів державного бюджету 0,00 тис. гривень (КПКВ, КЕКВ) (у тому числі капітальні вкладення 0,00 тис. гривень, наукові дослідження та розробки 0,00 тис. гривень, інші напрями використання коштів державного бюджету 0,00 тис. гривень;</w:t>
      </w:r>
    </w:p>
    <w:p w:rsidR="00AC0E5E" w:rsidRPr="00E27524" w:rsidRDefault="00AC0E5E" w:rsidP="00E27524">
      <w:pPr>
        <w:shd w:val="clear" w:color="auto" w:fill="FFFFFF"/>
        <w:ind w:firstLine="567"/>
        <w:textAlignment w:val="baseline"/>
        <w:rPr>
          <w:szCs w:val="28"/>
          <w:lang w:val="uk-UA"/>
        </w:rPr>
      </w:pPr>
      <w:r w:rsidRPr="00E27524">
        <w:rPr>
          <w:szCs w:val="28"/>
          <w:lang w:val="uk-UA"/>
        </w:rPr>
        <w:t xml:space="preserve">за рахунок коштів обласного бюджету </w:t>
      </w:r>
      <w:r w:rsidR="00932235">
        <w:rPr>
          <w:szCs w:val="28"/>
          <w:lang w:val="uk-UA"/>
        </w:rPr>
        <w:t>11701,3</w:t>
      </w:r>
      <w:r w:rsidRPr="00E27524">
        <w:rPr>
          <w:szCs w:val="28"/>
          <w:lang w:val="uk-UA"/>
        </w:rPr>
        <w:t xml:space="preserve"> тис. гривень (КПКВК</w:t>
      </w:r>
      <w:r w:rsidR="00447780">
        <w:rPr>
          <w:szCs w:val="28"/>
          <w:lang w:val="uk-UA"/>
        </w:rPr>
        <w:t xml:space="preserve"> 271</w:t>
      </w:r>
      <w:r w:rsidR="009244AD">
        <w:rPr>
          <w:szCs w:val="28"/>
          <w:lang w:val="uk-UA"/>
        </w:rPr>
        <w:t>7</w:t>
      </w:r>
      <w:r w:rsidR="00447780">
        <w:rPr>
          <w:szCs w:val="28"/>
          <w:lang w:val="uk-UA"/>
        </w:rPr>
        <w:t>693</w:t>
      </w:r>
      <w:r w:rsidR="00E42656">
        <w:rPr>
          <w:szCs w:val="28"/>
          <w:lang w:val="uk-UA"/>
        </w:rPr>
        <w:t>,</w:t>
      </w:r>
      <w:r w:rsidR="00293885">
        <w:rPr>
          <w:szCs w:val="28"/>
          <w:lang w:val="uk-UA"/>
        </w:rPr>
        <w:t xml:space="preserve"> </w:t>
      </w:r>
      <w:r w:rsidR="00E42656">
        <w:rPr>
          <w:szCs w:val="28"/>
          <w:lang w:val="uk-UA"/>
        </w:rPr>
        <w:t>КЕКВ</w:t>
      </w:r>
      <w:r>
        <w:rPr>
          <w:szCs w:val="28"/>
          <w:lang w:val="uk-UA"/>
        </w:rPr>
        <w:t xml:space="preserve"> </w:t>
      </w:r>
      <w:r w:rsidR="00E42656">
        <w:rPr>
          <w:szCs w:val="28"/>
          <w:lang w:val="uk-UA"/>
        </w:rPr>
        <w:t>2610</w:t>
      </w:r>
      <w:r>
        <w:rPr>
          <w:szCs w:val="28"/>
          <w:lang w:val="uk-UA"/>
        </w:rPr>
        <w:t>),</w:t>
      </w:r>
      <w:r w:rsidRPr="00162BD4">
        <w:rPr>
          <w:szCs w:val="28"/>
          <w:lang w:val="uk-UA"/>
        </w:rPr>
        <w:t xml:space="preserve"> </w:t>
      </w:r>
      <w:r w:rsidRPr="00E27524">
        <w:rPr>
          <w:szCs w:val="28"/>
          <w:lang w:val="uk-UA"/>
        </w:rPr>
        <w:t>(у тому числі капітальні вкладення</w:t>
      </w:r>
      <w:r w:rsidR="00C6115E">
        <w:rPr>
          <w:szCs w:val="28"/>
          <w:lang w:val="uk-UA"/>
        </w:rPr>
        <w:t xml:space="preserve"> 0,0</w:t>
      </w:r>
      <w:r w:rsidRPr="00E27524">
        <w:rPr>
          <w:szCs w:val="28"/>
          <w:lang w:val="uk-UA"/>
        </w:rPr>
        <w:t xml:space="preserve"> тис. гривень </w:t>
      </w:r>
      <w:r w:rsidRPr="00E27524">
        <w:rPr>
          <w:szCs w:val="28"/>
          <w:lang w:val="uk-UA"/>
        </w:rPr>
        <w:lastRenderedPageBreak/>
        <w:t xml:space="preserve">(розшифрувати), наукові дослідження та розробки </w:t>
      </w:r>
      <w:r w:rsidR="00C6115E" w:rsidRPr="00C6115E">
        <w:rPr>
          <w:szCs w:val="28"/>
          <w:lang w:val="uk-UA"/>
        </w:rPr>
        <w:t xml:space="preserve">0,0 </w:t>
      </w:r>
      <w:r w:rsidRPr="00E27524">
        <w:rPr>
          <w:szCs w:val="28"/>
          <w:lang w:val="uk-UA"/>
        </w:rPr>
        <w:t>тис. гривень, інші напрями використання коштів обласного бюджету</w:t>
      </w:r>
      <w:r>
        <w:rPr>
          <w:szCs w:val="28"/>
          <w:lang w:val="uk-UA"/>
        </w:rPr>
        <w:t xml:space="preserve"> </w:t>
      </w:r>
      <w:r w:rsidR="00990E55" w:rsidRPr="00990E55">
        <w:rPr>
          <w:szCs w:val="28"/>
          <w:lang w:val="uk-UA"/>
        </w:rPr>
        <w:t xml:space="preserve">0,0 </w:t>
      </w:r>
      <w:r w:rsidRPr="00E27524">
        <w:rPr>
          <w:szCs w:val="28"/>
          <w:lang w:val="uk-UA"/>
        </w:rPr>
        <w:t>тис. гривень (КПКВК</w:t>
      </w:r>
      <w:r>
        <w:rPr>
          <w:szCs w:val="28"/>
          <w:lang w:val="uk-UA"/>
        </w:rPr>
        <w:t xml:space="preserve">, </w:t>
      </w:r>
      <w:r w:rsidRPr="0024229E">
        <w:rPr>
          <w:szCs w:val="28"/>
          <w:lang w:val="uk-UA"/>
        </w:rPr>
        <w:t>КЕКВ</w:t>
      </w:r>
      <w:r w:rsidRPr="00E27524">
        <w:rPr>
          <w:szCs w:val="28"/>
          <w:lang w:val="uk-UA"/>
        </w:rPr>
        <w:t>)</w:t>
      </w:r>
      <w:r>
        <w:rPr>
          <w:szCs w:val="28"/>
          <w:lang w:val="uk-UA"/>
        </w:rPr>
        <w:t>, внески до статутного капіталу об</w:t>
      </w:r>
      <w:r w:rsidRPr="00E27524">
        <w:rPr>
          <w:szCs w:val="28"/>
          <w:lang w:val="uk-UA"/>
        </w:rPr>
        <w:t>’</w:t>
      </w:r>
      <w:r>
        <w:rPr>
          <w:szCs w:val="28"/>
          <w:lang w:val="uk-UA"/>
        </w:rPr>
        <w:t>єктів</w:t>
      </w:r>
      <w:r w:rsidR="00990E55">
        <w:rPr>
          <w:szCs w:val="28"/>
          <w:lang w:val="uk-UA"/>
        </w:rPr>
        <w:t xml:space="preserve"> </w:t>
      </w:r>
      <w:r w:rsidR="00990E55" w:rsidRPr="00990E55">
        <w:rPr>
          <w:szCs w:val="28"/>
          <w:lang w:val="uk-UA"/>
        </w:rPr>
        <w:t xml:space="preserve">0,0 </w:t>
      </w:r>
      <w:r w:rsidR="00990E55">
        <w:rPr>
          <w:szCs w:val="28"/>
          <w:lang w:val="uk-UA"/>
        </w:rPr>
        <w:t xml:space="preserve"> </w:t>
      </w:r>
      <w:r>
        <w:rPr>
          <w:szCs w:val="28"/>
          <w:lang w:val="uk-UA"/>
        </w:rPr>
        <w:t>тис. гривень (</w:t>
      </w:r>
      <w:r w:rsidRPr="00E27524">
        <w:rPr>
          <w:szCs w:val="28"/>
          <w:lang w:val="uk-UA"/>
        </w:rPr>
        <w:t>КПКВК</w:t>
      </w:r>
      <w:r>
        <w:rPr>
          <w:szCs w:val="28"/>
          <w:lang w:val="uk-UA"/>
        </w:rPr>
        <w:t xml:space="preserve">, </w:t>
      </w:r>
      <w:r w:rsidRPr="0024229E">
        <w:rPr>
          <w:szCs w:val="28"/>
          <w:lang w:val="uk-UA"/>
        </w:rPr>
        <w:t>КЕКВ</w:t>
      </w:r>
      <w:r>
        <w:rPr>
          <w:szCs w:val="28"/>
          <w:lang w:val="uk-UA"/>
        </w:rPr>
        <w:t xml:space="preserve"> )</w:t>
      </w:r>
      <w:r w:rsidRPr="00E27524">
        <w:rPr>
          <w:szCs w:val="28"/>
          <w:lang w:val="uk-UA"/>
        </w:rPr>
        <w:t>;</w:t>
      </w:r>
    </w:p>
    <w:p w:rsidR="00AC0E5E" w:rsidRPr="0024229E" w:rsidRDefault="00AC0E5E" w:rsidP="0024229E">
      <w:pPr>
        <w:shd w:val="clear" w:color="auto" w:fill="FFFFFF"/>
        <w:ind w:firstLine="567"/>
        <w:textAlignment w:val="baseline"/>
        <w:rPr>
          <w:sz w:val="16"/>
          <w:szCs w:val="16"/>
          <w:lang w:val="uk-UA"/>
        </w:rPr>
      </w:pPr>
    </w:p>
    <w:p w:rsidR="00990E55" w:rsidRPr="00990E55" w:rsidRDefault="00990E55" w:rsidP="00990E55">
      <w:pPr>
        <w:ind w:left="-15" w:right="0"/>
        <w:rPr>
          <w:szCs w:val="28"/>
          <w:lang w:val="uk-UA"/>
        </w:rPr>
      </w:pPr>
      <w:r w:rsidRPr="00990E55">
        <w:rPr>
          <w:szCs w:val="28"/>
          <w:lang w:val="uk-UA"/>
        </w:rPr>
        <w:t>за рахунок місцевих бюджетів 0,00 тис. гривень (КПКВ, КЕКВ) (у тому числі капітальні вкладення 0,00 тис. гривень, наукові дослідження та розробки 0,00 тис. гривень, інші напрями використання коштів місцевих бюджетів 0,00 тис. гривень;</w:t>
      </w:r>
    </w:p>
    <w:p w:rsidR="00990E55" w:rsidRPr="00990E55" w:rsidRDefault="00990E55" w:rsidP="00990E55">
      <w:pPr>
        <w:ind w:left="-15" w:right="0"/>
        <w:rPr>
          <w:szCs w:val="28"/>
          <w:lang w:val="uk-UA"/>
        </w:rPr>
      </w:pPr>
    </w:p>
    <w:p w:rsidR="00AC0E5E" w:rsidRPr="00061364" w:rsidRDefault="00990E55" w:rsidP="00990E55">
      <w:pPr>
        <w:ind w:left="-15" w:right="0"/>
        <w:rPr>
          <w:sz w:val="20"/>
          <w:lang w:val="uk-UA"/>
        </w:rPr>
      </w:pPr>
      <w:r w:rsidRPr="00990E55">
        <w:rPr>
          <w:szCs w:val="28"/>
          <w:lang w:val="uk-UA"/>
        </w:rPr>
        <w:t>інші джерела фінансування (власні кошти виконавця, гранти, залучені кредити та інші кошти) 0,00 тис. гривень (у тому числі капітальні вкладення 0,00 тис. гривень, наукові дослідження та розробки 0,00 тис. гривень, інші напрями використання коштів державного бюджету 0,00 тис. гривень.</w:t>
      </w:r>
    </w:p>
    <w:p w:rsidR="00AC0E5E" w:rsidRDefault="00AC0E5E">
      <w:pPr>
        <w:pStyle w:val="1"/>
        <w:ind w:left="976" w:hanging="281"/>
      </w:pPr>
      <w:r>
        <w:t>Основні  р</w:t>
      </w:r>
      <w:r w:rsidR="00843DC2">
        <w:t>езультати виконання програми за</w:t>
      </w:r>
      <w:r>
        <w:t xml:space="preserve"> </w:t>
      </w:r>
      <w:r w:rsidR="0063253F">
        <w:t>2020</w:t>
      </w:r>
      <w:r>
        <w:t xml:space="preserve"> рік</w:t>
      </w:r>
    </w:p>
    <w:p w:rsidR="00AC0E5E" w:rsidRDefault="00AC0E5E" w:rsidP="00293885">
      <w:pPr>
        <w:ind w:firstLine="851"/>
        <w:rPr>
          <w:lang w:val="uk-UA"/>
        </w:rPr>
      </w:pPr>
      <w:r>
        <w:rPr>
          <w:lang w:val="uk-UA"/>
        </w:rPr>
        <w:t>Основними виконаними заходами є:</w:t>
      </w:r>
    </w:p>
    <w:p w:rsidR="00FC1201" w:rsidRPr="003872C6" w:rsidRDefault="00FC1201" w:rsidP="00FC1201">
      <w:pPr>
        <w:spacing w:after="36"/>
        <w:ind w:right="0"/>
        <w:rPr>
          <w:lang w:val="uk-UA"/>
        </w:rPr>
      </w:pPr>
      <w:r>
        <w:rPr>
          <w:lang w:val="uk-UA"/>
        </w:rPr>
        <w:t xml:space="preserve">- </w:t>
      </w:r>
      <w:r w:rsidRPr="00141205">
        <w:rPr>
          <w:lang w:val="uk-UA"/>
        </w:rPr>
        <w:t>надання фінансової підтримки комунальному підприємству Київської обласної ради «Управління сп</w:t>
      </w:r>
      <w:r>
        <w:rPr>
          <w:lang w:val="uk-UA"/>
        </w:rPr>
        <w:t xml:space="preserve">оруд» у сумі </w:t>
      </w:r>
      <w:r w:rsidRPr="00605826">
        <w:rPr>
          <w:lang w:val="uk-UA"/>
        </w:rPr>
        <w:t>4594,3</w:t>
      </w:r>
      <w:r>
        <w:rPr>
          <w:lang w:val="uk-UA"/>
        </w:rPr>
        <w:t>тис. гривень.</w:t>
      </w:r>
    </w:p>
    <w:p w:rsidR="00AC0E5E" w:rsidRPr="00605826" w:rsidRDefault="00AC0E5E" w:rsidP="00605826">
      <w:pPr>
        <w:rPr>
          <w:lang w:val="uk-UA"/>
        </w:rPr>
      </w:pPr>
      <w:r>
        <w:rPr>
          <w:lang w:val="uk-UA"/>
        </w:rPr>
        <w:t>-</w:t>
      </w:r>
      <w:r w:rsidR="009A381E">
        <w:rPr>
          <w:lang w:val="uk-UA"/>
        </w:rPr>
        <w:t xml:space="preserve"> з</w:t>
      </w:r>
      <w:r w:rsidR="009A381E" w:rsidRPr="009A381E">
        <w:rPr>
          <w:lang w:val="uk-UA"/>
        </w:rPr>
        <w:t>абезпечення функціонування комунального підприємства Київської обласної ради «Переяслав-</w:t>
      </w:r>
      <w:proofErr w:type="spellStart"/>
      <w:r w:rsidR="009A381E" w:rsidRPr="009A381E">
        <w:rPr>
          <w:lang w:val="uk-UA"/>
        </w:rPr>
        <w:t>Хмельницьктепломережа</w:t>
      </w:r>
      <w:proofErr w:type="spellEnd"/>
      <w:r w:rsidR="009A381E" w:rsidRPr="009A381E">
        <w:rPr>
          <w:lang w:val="uk-UA"/>
        </w:rPr>
        <w:t>» шляхом фінансової підтримки з метою поповнення обігових коштів для погашення заборгованості за розподіл природного газу та його споживання</w:t>
      </w:r>
      <w:r w:rsidR="00605826">
        <w:rPr>
          <w:lang w:val="uk-UA"/>
        </w:rPr>
        <w:t xml:space="preserve"> у сумі </w:t>
      </w:r>
      <w:r w:rsidR="00605826" w:rsidRPr="00605826">
        <w:rPr>
          <w:lang w:val="uk-UA"/>
        </w:rPr>
        <w:t>7107,0</w:t>
      </w:r>
      <w:r w:rsidR="00605826">
        <w:rPr>
          <w:lang w:val="uk-UA"/>
        </w:rPr>
        <w:t xml:space="preserve"> тис. грн;</w:t>
      </w:r>
    </w:p>
    <w:p w:rsidR="00AC0E5E" w:rsidRPr="00061364" w:rsidRDefault="00AC0E5E" w:rsidP="009940AB">
      <w:pPr>
        <w:rPr>
          <w:sz w:val="20"/>
          <w:lang w:val="uk-UA"/>
        </w:rPr>
      </w:pPr>
    </w:p>
    <w:p w:rsidR="00AC0E5E" w:rsidRPr="0063253F" w:rsidRDefault="00AC0E5E" w:rsidP="00293885">
      <w:pPr>
        <w:pStyle w:val="1"/>
        <w:ind w:left="0" w:firstLine="567"/>
      </w:pPr>
      <w:bookmarkStart w:id="0" w:name="_GoBack"/>
      <w:r w:rsidRPr="001E053E">
        <w:t>Аналіз</w:t>
      </w:r>
      <w:r w:rsidRPr="00002779">
        <w:t xml:space="preserve"> </w:t>
      </w:r>
      <w:r w:rsidRPr="001E053E">
        <w:t>ефективності</w:t>
      </w:r>
      <w:r w:rsidRPr="00002779">
        <w:t xml:space="preserve"> </w:t>
      </w:r>
      <w:r w:rsidRPr="001E053E">
        <w:t>виконання</w:t>
      </w:r>
      <w:r>
        <w:t xml:space="preserve"> </w:t>
      </w:r>
      <w:r w:rsidR="0063253F" w:rsidRPr="0063253F">
        <w:t xml:space="preserve">Київської обласної цільової програми підтримки підприємств спільної власності територіальних громад сіл, селищ, міст Київської області і запобігання їх </w:t>
      </w:r>
      <w:r w:rsidR="005A7C55">
        <w:t>банкрутству на 2020</w:t>
      </w:r>
      <w:r w:rsidR="0063253F" w:rsidRPr="0063253F">
        <w:t>-2022 роки</w:t>
      </w:r>
      <w:r w:rsidR="00A01128">
        <w:t xml:space="preserve"> за 2020 рік</w:t>
      </w:r>
    </w:p>
    <w:bookmarkEnd w:id="0"/>
    <w:p w:rsidR="000C014E" w:rsidRDefault="00AC0E5E" w:rsidP="005226FC">
      <w:pPr>
        <w:ind w:left="-15" w:right="55"/>
        <w:rPr>
          <w:lang w:val="uk-UA"/>
        </w:rPr>
      </w:pPr>
      <w:r>
        <w:rPr>
          <w:lang w:val="uk-UA"/>
        </w:rPr>
        <w:t xml:space="preserve">В рамках виконання заходів Програми за </w:t>
      </w:r>
      <w:r w:rsidR="00FE21ED">
        <w:rPr>
          <w:lang w:val="uk-UA"/>
        </w:rPr>
        <w:t xml:space="preserve">2020 </w:t>
      </w:r>
      <w:r>
        <w:rPr>
          <w:lang w:val="uk-UA"/>
        </w:rPr>
        <w:t>р</w:t>
      </w:r>
      <w:r w:rsidR="00FE21ED">
        <w:rPr>
          <w:lang w:val="uk-UA"/>
        </w:rPr>
        <w:t>і</w:t>
      </w:r>
      <w:r>
        <w:rPr>
          <w:lang w:val="uk-UA"/>
        </w:rPr>
        <w:t>к було надано фінансову підтримку</w:t>
      </w:r>
      <w:r w:rsidR="00FE21ED" w:rsidRPr="00FE21ED">
        <w:rPr>
          <w:lang w:val="uk-UA"/>
        </w:rPr>
        <w:t xml:space="preserve"> комунально</w:t>
      </w:r>
      <w:r w:rsidR="00FE21ED">
        <w:rPr>
          <w:lang w:val="uk-UA"/>
        </w:rPr>
        <w:t>му</w:t>
      </w:r>
      <w:r w:rsidR="00FE21ED" w:rsidRPr="00FE21ED">
        <w:rPr>
          <w:lang w:val="uk-UA"/>
        </w:rPr>
        <w:t xml:space="preserve"> підприємств</w:t>
      </w:r>
      <w:r w:rsidR="00FE21ED">
        <w:rPr>
          <w:lang w:val="uk-UA"/>
        </w:rPr>
        <w:t>у</w:t>
      </w:r>
      <w:r w:rsidR="00FE21ED" w:rsidRPr="00FE21ED">
        <w:rPr>
          <w:lang w:val="uk-UA"/>
        </w:rPr>
        <w:t xml:space="preserve"> Київської обласної ради </w:t>
      </w:r>
      <w:r w:rsidR="00112D7D" w:rsidRPr="000C014E">
        <w:rPr>
          <w:lang w:val="uk-UA"/>
        </w:rPr>
        <w:t>«Управління споруд» у сумі 4594,3тис. грн</w:t>
      </w:r>
      <w:r w:rsidR="00112D7D" w:rsidRPr="00FE21ED">
        <w:rPr>
          <w:lang w:val="uk-UA"/>
        </w:rPr>
        <w:t xml:space="preserve"> </w:t>
      </w:r>
      <w:r w:rsidR="00D20A38">
        <w:rPr>
          <w:lang w:val="uk-UA"/>
        </w:rPr>
        <w:t xml:space="preserve">та </w:t>
      </w:r>
      <w:r w:rsidR="00D20A38" w:rsidRPr="00D20A38">
        <w:rPr>
          <w:lang w:val="uk-UA"/>
        </w:rPr>
        <w:t xml:space="preserve">комунальному підприємству </w:t>
      </w:r>
      <w:r w:rsidR="00FE21ED" w:rsidRPr="00FE21ED">
        <w:rPr>
          <w:lang w:val="uk-UA"/>
        </w:rPr>
        <w:t>«Переяслав-</w:t>
      </w:r>
      <w:proofErr w:type="spellStart"/>
      <w:r w:rsidR="00FE21ED" w:rsidRPr="00FE21ED">
        <w:rPr>
          <w:lang w:val="uk-UA"/>
        </w:rPr>
        <w:t>Хмельницьктепломережа</w:t>
      </w:r>
      <w:proofErr w:type="spellEnd"/>
      <w:r w:rsidR="00FE21ED" w:rsidRPr="00FE21ED">
        <w:rPr>
          <w:lang w:val="uk-UA"/>
        </w:rPr>
        <w:t>»</w:t>
      </w:r>
      <w:r>
        <w:rPr>
          <w:lang w:val="uk-UA"/>
        </w:rPr>
        <w:t xml:space="preserve"> </w:t>
      </w:r>
      <w:r w:rsidR="008B3E03">
        <w:rPr>
          <w:lang w:val="uk-UA"/>
        </w:rPr>
        <w:t>у</w:t>
      </w:r>
      <w:r w:rsidR="00F46E53">
        <w:rPr>
          <w:lang w:val="uk-UA"/>
        </w:rPr>
        <w:t xml:space="preserve"> сум</w:t>
      </w:r>
      <w:r w:rsidR="008B3E03">
        <w:rPr>
          <w:lang w:val="uk-UA"/>
        </w:rPr>
        <w:t>і</w:t>
      </w:r>
      <w:r w:rsidR="00F46E53">
        <w:rPr>
          <w:lang w:val="uk-UA"/>
        </w:rPr>
        <w:t xml:space="preserve"> </w:t>
      </w:r>
      <w:r w:rsidR="00F46E53" w:rsidRPr="00F46E53">
        <w:rPr>
          <w:lang w:val="uk-UA"/>
        </w:rPr>
        <w:t xml:space="preserve">7107,0 </w:t>
      </w:r>
      <w:r>
        <w:rPr>
          <w:lang w:val="uk-UA"/>
        </w:rPr>
        <w:t>тис.</w:t>
      </w:r>
      <w:r w:rsidR="00D20A38">
        <w:rPr>
          <w:lang w:val="uk-UA"/>
        </w:rPr>
        <w:t xml:space="preserve"> гривень.</w:t>
      </w:r>
    </w:p>
    <w:p w:rsidR="008634D2" w:rsidRPr="004646EB" w:rsidRDefault="008634D2" w:rsidP="005226FC">
      <w:pPr>
        <w:ind w:left="-15" w:right="55"/>
        <w:rPr>
          <w:lang w:val="uk-UA"/>
        </w:rPr>
      </w:pPr>
    </w:p>
    <w:p w:rsidR="00207C7F" w:rsidRDefault="00207C7F" w:rsidP="005226FC">
      <w:pPr>
        <w:ind w:left="-15" w:right="55"/>
        <w:rPr>
          <w:lang w:val="uk-UA"/>
        </w:rPr>
      </w:pPr>
    </w:p>
    <w:p w:rsidR="004646EB" w:rsidRPr="004646EB" w:rsidRDefault="004646EB" w:rsidP="005226FC">
      <w:pPr>
        <w:ind w:left="-15" w:right="55"/>
        <w:rPr>
          <w:lang w:val="uk-UA"/>
        </w:rPr>
      </w:pPr>
    </w:p>
    <w:tbl>
      <w:tblPr>
        <w:tblW w:w="0" w:type="auto"/>
        <w:tblInd w:w="-15" w:type="dxa"/>
        <w:tblLook w:val="04A0" w:firstRow="1" w:lastRow="0" w:firstColumn="1" w:lastColumn="0" w:noHBand="0" w:noVBand="1"/>
      </w:tblPr>
      <w:tblGrid>
        <w:gridCol w:w="5071"/>
        <w:gridCol w:w="5071"/>
      </w:tblGrid>
      <w:tr w:rsidR="008634D2" w:rsidRPr="00B40F8E" w:rsidTr="00B40F8E">
        <w:tc>
          <w:tcPr>
            <w:tcW w:w="5071" w:type="dxa"/>
            <w:shd w:val="clear" w:color="auto" w:fill="auto"/>
          </w:tcPr>
          <w:p w:rsidR="008634D2" w:rsidRPr="00B40F8E" w:rsidRDefault="008634D2" w:rsidP="00B40F8E">
            <w:pPr>
              <w:ind w:right="55" w:firstLine="0"/>
              <w:rPr>
                <w:b/>
                <w:lang w:val="uk-UA"/>
              </w:rPr>
            </w:pPr>
            <w:r w:rsidRPr="00B40F8E">
              <w:rPr>
                <w:b/>
                <w:lang w:val="uk-UA"/>
              </w:rPr>
              <w:t xml:space="preserve">Директор департаменту </w:t>
            </w:r>
          </w:p>
          <w:p w:rsidR="008634D2" w:rsidRPr="00B40F8E" w:rsidRDefault="008634D2" w:rsidP="00B40F8E">
            <w:pPr>
              <w:ind w:right="55" w:firstLine="0"/>
              <w:rPr>
                <w:b/>
                <w:lang w:val="uk-UA"/>
              </w:rPr>
            </w:pPr>
            <w:r w:rsidRPr="00B40F8E">
              <w:rPr>
                <w:b/>
                <w:lang w:val="uk-UA"/>
              </w:rPr>
              <w:t>економіки та цифровізації</w:t>
            </w:r>
          </w:p>
          <w:p w:rsidR="008634D2" w:rsidRPr="00B40F8E" w:rsidRDefault="008634D2" w:rsidP="00B40F8E">
            <w:pPr>
              <w:ind w:right="55" w:firstLine="0"/>
              <w:rPr>
                <w:b/>
                <w:lang w:val="uk-UA"/>
              </w:rPr>
            </w:pPr>
            <w:r w:rsidRPr="00B40F8E">
              <w:rPr>
                <w:b/>
                <w:lang w:val="uk-UA"/>
              </w:rPr>
              <w:t xml:space="preserve">Київської облдержадміністрації               </w:t>
            </w:r>
          </w:p>
        </w:tc>
        <w:tc>
          <w:tcPr>
            <w:tcW w:w="5071" w:type="dxa"/>
            <w:shd w:val="clear" w:color="auto" w:fill="auto"/>
          </w:tcPr>
          <w:p w:rsidR="008634D2" w:rsidRPr="00B40F8E" w:rsidRDefault="008634D2" w:rsidP="00B40F8E">
            <w:pPr>
              <w:ind w:right="55" w:firstLine="0"/>
              <w:rPr>
                <w:b/>
                <w:lang w:val="uk-UA"/>
              </w:rPr>
            </w:pPr>
          </w:p>
          <w:p w:rsidR="008634D2" w:rsidRPr="00B40F8E" w:rsidRDefault="008634D2" w:rsidP="00B40F8E">
            <w:pPr>
              <w:ind w:right="55" w:firstLine="0"/>
              <w:rPr>
                <w:b/>
                <w:lang w:val="uk-UA"/>
              </w:rPr>
            </w:pPr>
          </w:p>
          <w:p w:rsidR="008634D2" w:rsidRPr="00B40F8E" w:rsidRDefault="008634D2" w:rsidP="00B40F8E">
            <w:pPr>
              <w:ind w:right="55" w:firstLine="0"/>
              <w:rPr>
                <w:b/>
                <w:lang w:val="uk-UA"/>
              </w:rPr>
            </w:pPr>
            <w:r w:rsidRPr="00B40F8E">
              <w:rPr>
                <w:b/>
                <w:lang w:val="uk-UA"/>
              </w:rPr>
              <w:t xml:space="preserve">                            Наталія </w:t>
            </w:r>
            <w:r w:rsidR="00D20A38" w:rsidRPr="00B40F8E">
              <w:rPr>
                <w:b/>
                <w:lang w:val="uk-UA"/>
              </w:rPr>
              <w:t>ПОГРЕБНА</w:t>
            </w:r>
          </w:p>
        </w:tc>
      </w:tr>
    </w:tbl>
    <w:p w:rsidR="008634D2" w:rsidRDefault="008634D2" w:rsidP="005226FC">
      <w:pPr>
        <w:ind w:left="-15" w:right="55"/>
        <w:rPr>
          <w:lang w:val="uk-UA"/>
        </w:rPr>
      </w:pPr>
    </w:p>
    <w:sectPr w:rsidR="008634D2" w:rsidSect="00207C7F">
      <w:headerReference w:type="even" r:id="rId7"/>
      <w:headerReference w:type="default" r:id="rId8"/>
      <w:headerReference w:type="first" r:id="rId9"/>
      <w:pgSz w:w="11906" w:h="16838"/>
      <w:pgMar w:top="1191" w:right="703" w:bottom="568" w:left="1277" w:header="56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E19" w:rsidRDefault="00264E19">
      <w:pPr>
        <w:spacing w:after="0" w:line="240" w:lineRule="auto"/>
      </w:pPr>
      <w:r>
        <w:separator/>
      </w:r>
    </w:p>
  </w:endnote>
  <w:endnote w:type="continuationSeparator" w:id="0">
    <w:p w:rsidR="00264E19" w:rsidRDefault="0026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E19" w:rsidRDefault="00264E19">
      <w:pPr>
        <w:spacing w:after="0" w:line="240" w:lineRule="auto"/>
      </w:pPr>
      <w:r>
        <w:separator/>
      </w:r>
    </w:p>
  </w:footnote>
  <w:footnote w:type="continuationSeparator" w:id="0">
    <w:p w:rsidR="00264E19" w:rsidRDefault="00264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E5E" w:rsidRDefault="00AC0E5E">
    <w:pPr>
      <w:tabs>
        <w:tab w:val="center" w:pos="283"/>
        <w:tab w:val="center" w:pos="3903"/>
        <w:tab w:val="center" w:pos="5103"/>
      </w:tabs>
      <w:spacing w:after="0" w:line="259" w:lineRule="auto"/>
      <w:ind w:right="0" w:firstLine="0"/>
      <w:jc w:val="left"/>
    </w:pPr>
    <w:r>
      <w:rPr>
        <w:rFonts w:ascii="Calibri" w:hAnsi="Calibri" w:cs="Calibri"/>
        <w:sz w:val="22"/>
      </w:rPr>
      <w:tab/>
    </w:r>
    <w:r>
      <w:rPr>
        <w:sz w:val="20"/>
      </w:rPr>
      <w:tab/>
    </w:r>
    <w:r>
      <w:rPr>
        <w:sz w:val="20"/>
      </w:rPr>
      <w:tab/>
    </w:r>
    <w:r w:rsidR="00F038E4">
      <w:fldChar w:fldCharType="begin"/>
    </w:r>
    <w:r w:rsidR="00F038E4">
      <w:instrText xml:space="preserve"> PAGE   \* MERGEFORMAT </w:instrText>
    </w:r>
    <w:r w:rsidR="00F038E4">
      <w:fldChar w:fldCharType="separate"/>
    </w:r>
    <w:r>
      <w:rPr>
        <w:sz w:val="20"/>
      </w:rPr>
      <w:t>2</w:t>
    </w:r>
    <w:r w:rsidR="00F038E4">
      <w:rPr>
        <w:sz w:val="2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E5E" w:rsidRPr="00F038E4" w:rsidRDefault="00AC0E5E">
    <w:pPr>
      <w:tabs>
        <w:tab w:val="center" w:pos="283"/>
        <w:tab w:val="center" w:pos="3903"/>
        <w:tab w:val="center" w:pos="5103"/>
      </w:tabs>
      <w:spacing w:after="0" w:line="259" w:lineRule="auto"/>
      <w:ind w:right="0" w:firstLine="0"/>
      <w:jc w:val="left"/>
      <w:rPr>
        <w:lang w:val="uk-U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13D" w:rsidRDefault="002C113D">
    <w:pPr>
      <w:pStyle w:val="aa"/>
      <w:jc w:val="center"/>
    </w:pPr>
  </w:p>
  <w:p w:rsidR="00AC0E5E" w:rsidRDefault="00AC0E5E">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A3EE1"/>
    <w:multiLevelType w:val="hybridMultilevel"/>
    <w:tmpl w:val="602275A8"/>
    <w:lvl w:ilvl="0" w:tplc="09AA12BE">
      <w:start w:val="2"/>
      <w:numFmt w:val="bullet"/>
      <w:lvlText w:val="-"/>
      <w:lvlJc w:val="left"/>
      <w:pPr>
        <w:tabs>
          <w:tab w:val="num" w:pos="1660"/>
        </w:tabs>
        <w:ind w:left="1660" w:hanging="975"/>
      </w:pPr>
      <w:rPr>
        <w:rFonts w:ascii="Times New Roman" w:eastAsia="Times New Roman" w:hAnsi="Times New Roman" w:hint="default"/>
      </w:rPr>
    </w:lvl>
    <w:lvl w:ilvl="1" w:tplc="04220003" w:tentative="1">
      <w:start w:val="1"/>
      <w:numFmt w:val="bullet"/>
      <w:lvlText w:val="o"/>
      <w:lvlJc w:val="left"/>
      <w:pPr>
        <w:tabs>
          <w:tab w:val="num" w:pos="1765"/>
        </w:tabs>
        <w:ind w:left="1765" w:hanging="360"/>
      </w:pPr>
      <w:rPr>
        <w:rFonts w:ascii="Courier New" w:hAnsi="Courier New" w:hint="default"/>
      </w:rPr>
    </w:lvl>
    <w:lvl w:ilvl="2" w:tplc="04220005" w:tentative="1">
      <w:start w:val="1"/>
      <w:numFmt w:val="bullet"/>
      <w:lvlText w:val=""/>
      <w:lvlJc w:val="left"/>
      <w:pPr>
        <w:tabs>
          <w:tab w:val="num" w:pos="2485"/>
        </w:tabs>
        <w:ind w:left="2485" w:hanging="360"/>
      </w:pPr>
      <w:rPr>
        <w:rFonts w:ascii="Wingdings" w:hAnsi="Wingdings" w:hint="default"/>
      </w:rPr>
    </w:lvl>
    <w:lvl w:ilvl="3" w:tplc="04220001" w:tentative="1">
      <w:start w:val="1"/>
      <w:numFmt w:val="bullet"/>
      <w:lvlText w:val=""/>
      <w:lvlJc w:val="left"/>
      <w:pPr>
        <w:tabs>
          <w:tab w:val="num" w:pos="3205"/>
        </w:tabs>
        <w:ind w:left="3205" w:hanging="360"/>
      </w:pPr>
      <w:rPr>
        <w:rFonts w:ascii="Symbol" w:hAnsi="Symbol" w:hint="default"/>
      </w:rPr>
    </w:lvl>
    <w:lvl w:ilvl="4" w:tplc="04220003" w:tentative="1">
      <w:start w:val="1"/>
      <w:numFmt w:val="bullet"/>
      <w:lvlText w:val="o"/>
      <w:lvlJc w:val="left"/>
      <w:pPr>
        <w:tabs>
          <w:tab w:val="num" w:pos="3925"/>
        </w:tabs>
        <w:ind w:left="3925" w:hanging="360"/>
      </w:pPr>
      <w:rPr>
        <w:rFonts w:ascii="Courier New" w:hAnsi="Courier New" w:hint="default"/>
      </w:rPr>
    </w:lvl>
    <w:lvl w:ilvl="5" w:tplc="04220005" w:tentative="1">
      <w:start w:val="1"/>
      <w:numFmt w:val="bullet"/>
      <w:lvlText w:val=""/>
      <w:lvlJc w:val="left"/>
      <w:pPr>
        <w:tabs>
          <w:tab w:val="num" w:pos="4645"/>
        </w:tabs>
        <w:ind w:left="4645" w:hanging="360"/>
      </w:pPr>
      <w:rPr>
        <w:rFonts w:ascii="Wingdings" w:hAnsi="Wingdings" w:hint="default"/>
      </w:rPr>
    </w:lvl>
    <w:lvl w:ilvl="6" w:tplc="04220001" w:tentative="1">
      <w:start w:val="1"/>
      <w:numFmt w:val="bullet"/>
      <w:lvlText w:val=""/>
      <w:lvlJc w:val="left"/>
      <w:pPr>
        <w:tabs>
          <w:tab w:val="num" w:pos="5365"/>
        </w:tabs>
        <w:ind w:left="5365" w:hanging="360"/>
      </w:pPr>
      <w:rPr>
        <w:rFonts w:ascii="Symbol" w:hAnsi="Symbol" w:hint="default"/>
      </w:rPr>
    </w:lvl>
    <w:lvl w:ilvl="7" w:tplc="04220003" w:tentative="1">
      <w:start w:val="1"/>
      <w:numFmt w:val="bullet"/>
      <w:lvlText w:val="o"/>
      <w:lvlJc w:val="left"/>
      <w:pPr>
        <w:tabs>
          <w:tab w:val="num" w:pos="6085"/>
        </w:tabs>
        <w:ind w:left="6085" w:hanging="360"/>
      </w:pPr>
      <w:rPr>
        <w:rFonts w:ascii="Courier New" w:hAnsi="Courier New" w:hint="default"/>
      </w:rPr>
    </w:lvl>
    <w:lvl w:ilvl="8" w:tplc="04220005" w:tentative="1">
      <w:start w:val="1"/>
      <w:numFmt w:val="bullet"/>
      <w:lvlText w:val=""/>
      <w:lvlJc w:val="left"/>
      <w:pPr>
        <w:tabs>
          <w:tab w:val="num" w:pos="6805"/>
        </w:tabs>
        <w:ind w:left="6805" w:hanging="360"/>
      </w:pPr>
      <w:rPr>
        <w:rFonts w:ascii="Wingdings" w:hAnsi="Wingdings" w:hint="default"/>
      </w:rPr>
    </w:lvl>
  </w:abstractNum>
  <w:abstractNum w:abstractNumId="1" w15:restartNumberingAfterBreak="0">
    <w:nsid w:val="23A81FE6"/>
    <w:multiLevelType w:val="hybridMultilevel"/>
    <w:tmpl w:val="CC6ABD18"/>
    <w:lvl w:ilvl="0" w:tplc="F9444082">
      <w:start w:val="1"/>
      <w:numFmt w:val="bullet"/>
      <w:lvlText w:val=""/>
      <w:lvlJc w:val="left"/>
      <w:pPr>
        <w:ind w:left="710"/>
      </w:pPr>
      <w:rPr>
        <w:rFonts w:ascii="Segoe UI Symbol" w:eastAsia="Times New Roman" w:hAnsi="Segoe UI Symbol"/>
        <w:b w:val="0"/>
        <w:i w:val="0"/>
        <w:strike w:val="0"/>
        <w:dstrike w:val="0"/>
        <w:color w:val="000000"/>
        <w:sz w:val="28"/>
        <w:u w:val="none" w:color="000000"/>
        <w:vertAlign w:val="baseline"/>
      </w:rPr>
    </w:lvl>
    <w:lvl w:ilvl="1" w:tplc="277E8166">
      <w:start w:val="1"/>
      <w:numFmt w:val="bullet"/>
      <w:lvlText w:val="o"/>
      <w:lvlJc w:val="left"/>
      <w:pPr>
        <w:ind w:left="1790"/>
      </w:pPr>
      <w:rPr>
        <w:rFonts w:ascii="Segoe UI Symbol" w:eastAsia="Times New Roman" w:hAnsi="Segoe UI Symbol"/>
        <w:b w:val="0"/>
        <w:i w:val="0"/>
        <w:strike w:val="0"/>
        <w:dstrike w:val="0"/>
        <w:color w:val="000000"/>
        <w:sz w:val="28"/>
        <w:u w:val="none" w:color="000000"/>
        <w:vertAlign w:val="baseline"/>
      </w:rPr>
    </w:lvl>
    <w:lvl w:ilvl="2" w:tplc="9FB804F6">
      <w:start w:val="1"/>
      <w:numFmt w:val="bullet"/>
      <w:lvlText w:val="▪"/>
      <w:lvlJc w:val="left"/>
      <w:pPr>
        <w:ind w:left="2510"/>
      </w:pPr>
      <w:rPr>
        <w:rFonts w:ascii="Segoe UI Symbol" w:eastAsia="Times New Roman" w:hAnsi="Segoe UI Symbol"/>
        <w:b w:val="0"/>
        <w:i w:val="0"/>
        <w:strike w:val="0"/>
        <w:dstrike w:val="0"/>
        <w:color w:val="000000"/>
        <w:sz w:val="28"/>
        <w:u w:val="none" w:color="000000"/>
        <w:vertAlign w:val="baseline"/>
      </w:rPr>
    </w:lvl>
    <w:lvl w:ilvl="3" w:tplc="99584184">
      <w:start w:val="1"/>
      <w:numFmt w:val="bullet"/>
      <w:lvlText w:val="•"/>
      <w:lvlJc w:val="left"/>
      <w:pPr>
        <w:ind w:left="3230"/>
      </w:pPr>
      <w:rPr>
        <w:rFonts w:ascii="Arial" w:eastAsia="Times New Roman" w:hAnsi="Arial"/>
        <w:b w:val="0"/>
        <w:i w:val="0"/>
        <w:strike w:val="0"/>
        <w:dstrike w:val="0"/>
        <w:color w:val="000000"/>
        <w:sz w:val="28"/>
        <w:u w:val="none" w:color="000000"/>
        <w:vertAlign w:val="baseline"/>
      </w:rPr>
    </w:lvl>
    <w:lvl w:ilvl="4" w:tplc="BDA4AC34">
      <w:start w:val="1"/>
      <w:numFmt w:val="bullet"/>
      <w:lvlText w:val="o"/>
      <w:lvlJc w:val="left"/>
      <w:pPr>
        <w:ind w:left="3950"/>
      </w:pPr>
      <w:rPr>
        <w:rFonts w:ascii="Segoe UI Symbol" w:eastAsia="Times New Roman" w:hAnsi="Segoe UI Symbol"/>
        <w:b w:val="0"/>
        <w:i w:val="0"/>
        <w:strike w:val="0"/>
        <w:dstrike w:val="0"/>
        <w:color w:val="000000"/>
        <w:sz w:val="28"/>
        <w:u w:val="none" w:color="000000"/>
        <w:vertAlign w:val="baseline"/>
      </w:rPr>
    </w:lvl>
    <w:lvl w:ilvl="5" w:tplc="DA0202D6">
      <w:start w:val="1"/>
      <w:numFmt w:val="bullet"/>
      <w:lvlText w:val="▪"/>
      <w:lvlJc w:val="left"/>
      <w:pPr>
        <w:ind w:left="4670"/>
      </w:pPr>
      <w:rPr>
        <w:rFonts w:ascii="Segoe UI Symbol" w:eastAsia="Times New Roman" w:hAnsi="Segoe UI Symbol"/>
        <w:b w:val="0"/>
        <w:i w:val="0"/>
        <w:strike w:val="0"/>
        <w:dstrike w:val="0"/>
        <w:color w:val="000000"/>
        <w:sz w:val="28"/>
        <w:u w:val="none" w:color="000000"/>
        <w:vertAlign w:val="baseline"/>
      </w:rPr>
    </w:lvl>
    <w:lvl w:ilvl="6" w:tplc="3DE4D2BC">
      <w:start w:val="1"/>
      <w:numFmt w:val="bullet"/>
      <w:lvlText w:val="•"/>
      <w:lvlJc w:val="left"/>
      <w:pPr>
        <w:ind w:left="5390"/>
      </w:pPr>
      <w:rPr>
        <w:rFonts w:ascii="Arial" w:eastAsia="Times New Roman" w:hAnsi="Arial"/>
        <w:b w:val="0"/>
        <w:i w:val="0"/>
        <w:strike w:val="0"/>
        <w:dstrike w:val="0"/>
        <w:color w:val="000000"/>
        <w:sz w:val="28"/>
        <w:u w:val="none" w:color="000000"/>
        <w:vertAlign w:val="baseline"/>
      </w:rPr>
    </w:lvl>
    <w:lvl w:ilvl="7" w:tplc="0A607D96">
      <w:start w:val="1"/>
      <w:numFmt w:val="bullet"/>
      <w:lvlText w:val="o"/>
      <w:lvlJc w:val="left"/>
      <w:pPr>
        <w:ind w:left="6110"/>
      </w:pPr>
      <w:rPr>
        <w:rFonts w:ascii="Segoe UI Symbol" w:eastAsia="Times New Roman" w:hAnsi="Segoe UI Symbol"/>
        <w:b w:val="0"/>
        <w:i w:val="0"/>
        <w:strike w:val="0"/>
        <w:dstrike w:val="0"/>
        <w:color w:val="000000"/>
        <w:sz w:val="28"/>
        <w:u w:val="none" w:color="000000"/>
        <w:vertAlign w:val="baseline"/>
      </w:rPr>
    </w:lvl>
    <w:lvl w:ilvl="8" w:tplc="873EF9B8">
      <w:start w:val="1"/>
      <w:numFmt w:val="bullet"/>
      <w:lvlText w:val="▪"/>
      <w:lvlJc w:val="left"/>
      <w:pPr>
        <w:ind w:left="6830"/>
      </w:pPr>
      <w:rPr>
        <w:rFonts w:ascii="Segoe UI Symbol" w:eastAsia="Times New Roman" w:hAnsi="Segoe UI Symbol"/>
        <w:b w:val="0"/>
        <w:i w:val="0"/>
        <w:strike w:val="0"/>
        <w:dstrike w:val="0"/>
        <w:color w:val="000000"/>
        <w:sz w:val="28"/>
        <w:u w:val="none" w:color="000000"/>
        <w:vertAlign w:val="baseline"/>
      </w:rPr>
    </w:lvl>
  </w:abstractNum>
  <w:abstractNum w:abstractNumId="2" w15:restartNumberingAfterBreak="0">
    <w:nsid w:val="2CAE5B7C"/>
    <w:multiLevelType w:val="hybridMultilevel"/>
    <w:tmpl w:val="2716E9C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6A816FA"/>
    <w:multiLevelType w:val="multilevel"/>
    <w:tmpl w:val="602275A8"/>
    <w:lvl w:ilvl="0">
      <w:start w:val="2"/>
      <w:numFmt w:val="bullet"/>
      <w:lvlText w:val="-"/>
      <w:lvlJc w:val="left"/>
      <w:pPr>
        <w:tabs>
          <w:tab w:val="num" w:pos="1660"/>
        </w:tabs>
        <w:ind w:left="1660" w:hanging="975"/>
      </w:pPr>
      <w:rPr>
        <w:rFonts w:ascii="Times New Roman" w:eastAsia="Times New Roman" w:hAnsi="Times New Roman" w:hint="default"/>
      </w:rPr>
    </w:lvl>
    <w:lvl w:ilvl="1">
      <w:start w:val="1"/>
      <w:numFmt w:val="bullet"/>
      <w:lvlText w:val="o"/>
      <w:lvlJc w:val="left"/>
      <w:pPr>
        <w:tabs>
          <w:tab w:val="num" w:pos="1765"/>
        </w:tabs>
        <w:ind w:left="1765" w:hanging="360"/>
      </w:pPr>
      <w:rPr>
        <w:rFonts w:ascii="Courier New" w:hAnsi="Courier New" w:hint="default"/>
      </w:rPr>
    </w:lvl>
    <w:lvl w:ilvl="2">
      <w:start w:val="1"/>
      <w:numFmt w:val="bullet"/>
      <w:lvlText w:val=""/>
      <w:lvlJc w:val="left"/>
      <w:pPr>
        <w:tabs>
          <w:tab w:val="num" w:pos="2485"/>
        </w:tabs>
        <w:ind w:left="2485" w:hanging="360"/>
      </w:pPr>
      <w:rPr>
        <w:rFonts w:ascii="Wingdings" w:hAnsi="Wingdings" w:hint="default"/>
      </w:rPr>
    </w:lvl>
    <w:lvl w:ilvl="3">
      <w:start w:val="1"/>
      <w:numFmt w:val="bullet"/>
      <w:lvlText w:val=""/>
      <w:lvlJc w:val="left"/>
      <w:pPr>
        <w:tabs>
          <w:tab w:val="num" w:pos="3205"/>
        </w:tabs>
        <w:ind w:left="3205" w:hanging="360"/>
      </w:pPr>
      <w:rPr>
        <w:rFonts w:ascii="Symbol" w:hAnsi="Symbol" w:hint="default"/>
      </w:rPr>
    </w:lvl>
    <w:lvl w:ilvl="4">
      <w:start w:val="1"/>
      <w:numFmt w:val="bullet"/>
      <w:lvlText w:val="o"/>
      <w:lvlJc w:val="left"/>
      <w:pPr>
        <w:tabs>
          <w:tab w:val="num" w:pos="3925"/>
        </w:tabs>
        <w:ind w:left="3925" w:hanging="360"/>
      </w:pPr>
      <w:rPr>
        <w:rFonts w:ascii="Courier New" w:hAnsi="Courier New" w:hint="default"/>
      </w:rPr>
    </w:lvl>
    <w:lvl w:ilvl="5">
      <w:start w:val="1"/>
      <w:numFmt w:val="bullet"/>
      <w:lvlText w:val=""/>
      <w:lvlJc w:val="left"/>
      <w:pPr>
        <w:tabs>
          <w:tab w:val="num" w:pos="4645"/>
        </w:tabs>
        <w:ind w:left="4645" w:hanging="360"/>
      </w:pPr>
      <w:rPr>
        <w:rFonts w:ascii="Wingdings" w:hAnsi="Wingdings" w:hint="default"/>
      </w:rPr>
    </w:lvl>
    <w:lvl w:ilvl="6">
      <w:start w:val="1"/>
      <w:numFmt w:val="bullet"/>
      <w:lvlText w:val=""/>
      <w:lvlJc w:val="left"/>
      <w:pPr>
        <w:tabs>
          <w:tab w:val="num" w:pos="5365"/>
        </w:tabs>
        <w:ind w:left="5365" w:hanging="360"/>
      </w:pPr>
      <w:rPr>
        <w:rFonts w:ascii="Symbol" w:hAnsi="Symbol" w:hint="default"/>
      </w:rPr>
    </w:lvl>
    <w:lvl w:ilvl="7">
      <w:start w:val="1"/>
      <w:numFmt w:val="bullet"/>
      <w:lvlText w:val="o"/>
      <w:lvlJc w:val="left"/>
      <w:pPr>
        <w:tabs>
          <w:tab w:val="num" w:pos="6085"/>
        </w:tabs>
        <w:ind w:left="6085" w:hanging="360"/>
      </w:pPr>
      <w:rPr>
        <w:rFonts w:ascii="Courier New" w:hAnsi="Courier New" w:hint="default"/>
      </w:rPr>
    </w:lvl>
    <w:lvl w:ilvl="8">
      <w:start w:val="1"/>
      <w:numFmt w:val="bullet"/>
      <w:lvlText w:val=""/>
      <w:lvlJc w:val="left"/>
      <w:pPr>
        <w:tabs>
          <w:tab w:val="num" w:pos="6805"/>
        </w:tabs>
        <w:ind w:left="6805" w:hanging="360"/>
      </w:pPr>
      <w:rPr>
        <w:rFonts w:ascii="Wingdings" w:hAnsi="Wingdings" w:hint="default"/>
      </w:rPr>
    </w:lvl>
  </w:abstractNum>
  <w:abstractNum w:abstractNumId="4" w15:restartNumberingAfterBreak="0">
    <w:nsid w:val="3AC60D7E"/>
    <w:multiLevelType w:val="hybridMultilevel"/>
    <w:tmpl w:val="BFD6FA8A"/>
    <w:lvl w:ilvl="0" w:tplc="28E2D814">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FCC22508">
      <w:start w:val="1"/>
      <w:numFmt w:val="bullet"/>
      <w:lvlText w:val="o"/>
      <w:lvlJc w:val="left"/>
      <w:pPr>
        <w:ind w:left="1788"/>
      </w:pPr>
      <w:rPr>
        <w:rFonts w:ascii="Times New Roman" w:eastAsia="Times New Roman" w:hAnsi="Times New Roman"/>
        <w:b w:val="0"/>
        <w:i w:val="0"/>
        <w:strike w:val="0"/>
        <w:dstrike w:val="0"/>
        <w:color w:val="000000"/>
        <w:sz w:val="28"/>
        <w:u w:val="none" w:color="000000"/>
        <w:vertAlign w:val="baseline"/>
      </w:rPr>
    </w:lvl>
    <w:lvl w:ilvl="2" w:tplc="2F702FD4">
      <w:start w:val="1"/>
      <w:numFmt w:val="bullet"/>
      <w:lvlText w:val="▪"/>
      <w:lvlJc w:val="left"/>
      <w:pPr>
        <w:ind w:left="2508"/>
      </w:pPr>
      <w:rPr>
        <w:rFonts w:ascii="Times New Roman" w:eastAsia="Times New Roman" w:hAnsi="Times New Roman"/>
        <w:b w:val="0"/>
        <w:i w:val="0"/>
        <w:strike w:val="0"/>
        <w:dstrike w:val="0"/>
        <w:color w:val="000000"/>
        <w:sz w:val="28"/>
        <w:u w:val="none" w:color="000000"/>
        <w:vertAlign w:val="baseline"/>
      </w:rPr>
    </w:lvl>
    <w:lvl w:ilvl="3" w:tplc="42263778">
      <w:start w:val="1"/>
      <w:numFmt w:val="bullet"/>
      <w:lvlText w:val="•"/>
      <w:lvlJc w:val="left"/>
      <w:pPr>
        <w:ind w:left="3228"/>
      </w:pPr>
      <w:rPr>
        <w:rFonts w:ascii="Times New Roman" w:eastAsia="Times New Roman" w:hAnsi="Times New Roman"/>
        <w:b w:val="0"/>
        <w:i w:val="0"/>
        <w:strike w:val="0"/>
        <w:dstrike w:val="0"/>
        <w:color w:val="000000"/>
        <w:sz w:val="28"/>
        <w:u w:val="none" w:color="000000"/>
        <w:vertAlign w:val="baseline"/>
      </w:rPr>
    </w:lvl>
    <w:lvl w:ilvl="4" w:tplc="6AC6B006">
      <w:start w:val="1"/>
      <w:numFmt w:val="bullet"/>
      <w:lvlText w:val="o"/>
      <w:lvlJc w:val="left"/>
      <w:pPr>
        <w:ind w:left="3948"/>
      </w:pPr>
      <w:rPr>
        <w:rFonts w:ascii="Times New Roman" w:eastAsia="Times New Roman" w:hAnsi="Times New Roman"/>
        <w:b w:val="0"/>
        <w:i w:val="0"/>
        <w:strike w:val="0"/>
        <w:dstrike w:val="0"/>
        <w:color w:val="000000"/>
        <w:sz w:val="28"/>
        <w:u w:val="none" w:color="000000"/>
        <w:vertAlign w:val="baseline"/>
      </w:rPr>
    </w:lvl>
    <w:lvl w:ilvl="5" w:tplc="6416FCEC">
      <w:start w:val="1"/>
      <w:numFmt w:val="bullet"/>
      <w:lvlText w:val="▪"/>
      <w:lvlJc w:val="left"/>
      <w:pPr>
        <w:ind w:left="4668"/>
      </w:pPr>
      <w:rPr>
        <w:rFonts w:ascii="Times New Roman" w:eastAsia="Times New Roman" w:hAnsi="Times New Roman"/>
        <w:b w:val="0"/>
        <w:i w:val="0"/>
        <w:strike w:val="0"/>
        <w:dstrike w:val="0"/>
        <w:color w:val="000000"/>
        <w:sz w:val="28"/>
        <w:u w:val="none" w:color="000000"/>
        <w:vertAlign w:val="baseline"/>
      </w:rPr>
    </w:lvl>
    <w:lvl w:ilvl="6" w:tplc="6EB226CC">
      <w:start w:val="1"/>
      <w:numFmt w:val="bullet"/>
      <w:lvlText w:val="•"/>
      <w:lvlJc w:val="left"/>
      <w:pPr>
        <w:ind w:left="5388"/>
      </w:pPr>
      <w:rPr>
        <w:rFonts w:ascii="Times New Roman" w:eastAsia="Times New Roman" w:hAnsi="Times New Roman"/>
        <w:b w:val="0"/>
        <w:i w:val="0"/>
        <w:strike w:val="0"/>
        <w:dstrike w:val="0"/>
        <w:color w:val="000000"/>
        <w:sz w:val="28"/>
        <w:u w:val="none" w:color="000000"/>
        <w:vertAlign w:val="baseline"/>
      </w:rPr>
    </w:lvl>
    <w:lvl w:ilvl="7" w:tplc="A290F850">
      <w:start w:val="1"/>
      <w:numFmt w:val="bullet"/>
      <w:lvlText w:val="o"/>
      <w:lvlJc w:val="left"/>
      <w:pPr>
        <w:ind w:left="6108"/>
      </w:pPr>
      <w:rPr>
        <w:rFonts w:ascii="Times New Roman" w:eastAsia="Times New Roman" w:hAnsi="Times New Roman"/>
        <w:b w:val="0"/>
        <w:i w:val="0"/>
        <w:strike w:val="0"/>
        <w:dstrike w:val="0"/>
        <w:color w:val="000000"/>
        <w:sz w:val="28"/>
        <w:u w:val="none" w:color="000000"/>
        <w:vertAlign w:val="baseline"/>
      </w:rPr>
    </w:lvl>
    <w:lvl w:ilvl="8" w:tplc="C2362566">
      <w:start w:val="1"/>
      <w:numFmt w:val="bullet"/>
      <w:lvlText w:val="▪"/>
      <w:lvlJc w:val="left"/>
      <w:pPr>
        <w:ind w:left="6828"/>
      </w:pPr>
      <w:rPr>
        <w:rFonts w:ascii="Times New Roman" w:eastAsia="Times New Roman" w:hAnsi="Times New Roman"/>
        <w:b w:val="0"/>
        <w:i w:val="0"/>
        <w:strike w:val="0"/>
        <w:dstrike w:val="0"/>
        <w:color w:val="000000"/>
        <w:sz w:val="28"/>
        <w:u w:val="none" w:color="000000"/>
        <w:vertAlign w:val="baseline"/>
      </w:rPr>
    </w:lvl>
  </w:abstractNum>
  <w:abstractNum w:abstractNumId="5" w15:restartNumberingAfterBreak="0">
    <w:nsid w:val="46F02535"/>
    <w:multiLevelType w:val="hybridMultilevel"/>
    <w:tmpl w:val="10FE52F4"/>
    <w:lvl w:ilvl="0" w:tplc="AF50041C">
      <w:start w:val="1"/>
      <w:numFmt w:val="bullet"/>
      <w:lvlText w:val="-"/>
      <w:lvlJc w:val="left"/>
      <w:rPr>
        <w:rFonts w:ascii="Times New Roman" w:eastAsia="Times New Roman" w:hAnsi="Times New Roman"/>
        <w:b/>
        <w:i w:val="0"/>
        <w:strike w:val="0"/>
        <w:dstrike w:val="0"/>
        <w:color w:val="000000"/>
        <w:sz w:val="28"/>
        <w:u w:val="none" w:color="000000"/>
        <w:vertAlign w:val="baseline"/>
      </w:rPr>
    </w:lvl>
    <w:lvl w:ilvl="1" w:tplc="F1562A74">
      <w:start w:val="1"/>
      <w:numFmt w:val="bullet"/>
      <w:lvlText w:val="o"/>
      <w:lvlJc w:val="left"/>
      <w:pPr>
        <w:ind w:left="1859"/>
      </w:pPr>
      <w:rPr>
        <w:rFonts w:ascii="Times New Roman" w:eastAsia="Times New Roman" w:hAnsi="Times New Roman"/>
        <w:b/>
        <w:i w:val="0"/>
        <w:strike w:val="0"/>
        <w:dstrike w:val="0"/>
        <w:color w:val="000000"/>
        <w:sz w:val="28"/>
        <w:u w:val="none" w:color="000000"/>
        <w:vertAlign w:val="baseline"/>
      </w:rPr>
    </w:lvl>
    <w:lvl w:ilvl="2" w:tplc="25A0AEBC">
      <w:start w:val="1"/>
      <w:numFmt w:val="bullet"/>
      <w:lvlText w:val="▪"/>
      <w:lvlJc w:val="left"/>
      <w:pPr>
        <w:ind w:left="2579"/>
      </w:pPr>
      <w:rPr>
        <w:rFonts w:ascii="Times New Roman" w:eastAsia="Times New Roman" w:hAnsi="Times New Roman"/>
        <w:b/>
        <w:i w:val="0"/>
        <w:strike w:val="0"/>
        <w:dstrike w:val="0"/>
        <w:color w:val="000000"/>
        <w:sz w:val="28"/>
        <w:u w:val="none" w:color="000000"/>
        <w:vertAlign w:val="baseline"/>
      </w:rPr>
    </w:lvl>
    <w:lvl w:ilvl="3" w:tplc="F2EE13DA">
      <w:start w:val="1"/>
      <w:numFmt w:val="bullet"/>
      <w:lvlText w:val="•"/>
      <w:lvlJc w:val="left"/>
      <w:pPr>
        <w:ind w:left="3299"/>
      </w:pPr>
      <w:rPr>
        <w:rFonts w:ascii="Times New Roman" w:eastAsia="Times New Roman" w:hAnsi="Times New Roman"/>
        <w:b/>
        <w:i w:val="0"/>
        <w:strike w:val="0"/>
        <w:dstrike w:val="0"/>
        <w:color w:val="000000"/>
        <w:sz w:val="28"/>
        <w:u w:val="none" w:color="000000"/>
        <w:vertAlign w:val="baseline"/>
      </w:rPr>
    </w:lvl>
    <w:lvl w:ilvl="4" w:tplc="0BD68C60">
      <w:start w:val="1"/>
      <w:numFmt w:val="bullet"/>
      <w:lvlText w:val="o"/>
      <w:lvlJc w:val="left"/>
      <w:pPr>
        <w:ind w:left="4019"/>
      </w:pPr>
      <w:rPr>
        <w:rFonts w:ascii="Times New Roman" w:eastAsia="Times New Roman" w:hAnsi="Times New Roman"/>
        <w:b/>
        <w:i w:val="0"/>
        <w:strike w:val="0"/>
        <w:dstrike w:val="0"/>
        <w:color w:val="000000"/>
        <w:sz w:val="28"/>
        <w:u w:val="none" w:color="000000"/>
        <w:vertAlign w:val="baseline"/>
      </w:rPr>
    </w:lvl>
    <w:lvl w:ilvl="5" w:tplc="DA2C54B4">
      <w:start w:val="1"/>
      <w:numFmt w:val="bullet"/>
      <w:lvlText w:val="▪"/>
      <w:lvlJc w:val="left"/>
      <w:pPr>
        <w:ind w:left="4739"/>
      </w:pPr>
      <w:rPr>
        <w:rFonts w:ascii="Times New Roman" w:eastAsia="Times New Roman" w:hAnsi="Times New Roman"/>
        <w:b/>
        <w:i w:val="0"/>
        <w:strike w:val="0"/>
        <w:dstrike w:val="0"/>
        <w:color w:val="000000"/>
        <w:sz w:val="28"/>
        <w:u w:val="none" w:color="000000"/>
        <w:vertAlign w:val="baseline"/>
      </w:rPr>
    </w:lvl>
    <w:lvl w:ilvl="6" w:tplc="0B1A2EA0">
      <w:start w:val="1"/>
      <w:numFmt w:val="bullet"/>
      <w:lvlText w:val="•"/>
      <w:lvlJc w:val="left"/>
      <w:pPr>
        <w:ind w:left="5459"/>
      </w:pPr>
      <w:rPr>
        <w:rFonts w:ascii="Times New Roman" w:eastAsia="Times New Roman" w:hAnsi="Times New Roman"/>
        <w:b/>
        <w:i w:val="0"/>
        <w:strike w:val="0"/>
        <w:dstrike w:val="0"/>
        <w:color w:val="000000"/>
        <w:sz w:val="28"/>
        <w:u w:val="none" w:color="000000"/>
        <w:vertAlign w:val="baseline"/>
      </w:rPr>
    </w:lvl>
    <w:lvl w:ilvl="7" w:tplc="276840CE">
      <w:start w:val="1"/>
      <w:numFmt w:val="bullet"/>
      <w:lvlText w:val="o"/>
      <w:lvlJc w:val="left"/>
      <w:pPr>
        <w:ind w:left="6179"/>
      </w:pPr>
      <w:rPr>
        <w:rFonts w:ascii="Times New Roman" w:eastAsia="Times New Roman" w:hAnsi="Times New Roman"/>
        <w:b/>
        <w:i w:val="0"/>
        <w:strike w:val="0"/>
        <w:dstrike w:val="0"/>
        <w:color w:val="000000"/>
        <w:sz w:val="28"/>
        <w:u w:val="none" w:color="000000"/>
        <w:vertAlign w:val="baseline"/>
      </w:rPr>
    </w:lvl>
    <w:lvl w:ilvl="8" w:tplc="8C3EC62E">
      <w:start w:val="1"/>
      <w:numFmt w:val="bullet"/>
      <w:lvlText w:val="▪"/>
      <w:lvlJc w:val="left"/>
      <w:pPr>
        <w:ind w:left="6899"/>
      </w:pPr>
      <w:rPr>
        <w:rFonts w:ascii="Times New Roman" w:eastAsia="Times New Roman" w:hAnsi="Times New Roman"/>
        <w:b/>
        <w:i w:val="0"/>
        <w:strike w:val="0"/>
        <w:dstrike w:val="0"/>
        <w:color w:val="000000"/>
        <w:sz w:val="28"/>
        <w:u w:val="none" w:color="000000"/>
        <w:vertAlign w:val="baseline"/>
      </w:rPr>
    </w:lvl>
  </w:abstractNum>
  <w:abstractNum w:abstractNumId="6" w15:restartNumberingAfterBreak="0">
    <w:nsid w:val="566B7FAC"/>
    <w:multiLevelType w:val="hybridMultilevel"/>
    <w:tmpl w:val="DC704A1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265030A"/>
    <w:multiLevelType w:val="multilevel"/>
    <w:tmpl w:val="602275A8"/>
    <w:lvl w:ilvl="0">
      <w:start w:val="2"/>
      <w:numFmt w:val="bullet"/>
      <w:lvlText w:val="-"/>
      <w:lvlJc w:val="left"/>
      <w:pPr>
        <w:tabs>
          <w:tab w:val="num" w:pos="1660"/>
        </w:tabs>
        <w:ind w:left="1660" w:hanging="975"/>
      </w:pPr>
      <w:rPr>
        <w:rFonts w:ascii="Times New Roman" w:eastAsia="Times New Roman" w:hAnsi="Times New Roman" w:hint="default"/>
      </w:rPr>
    </w:lvl>
    <w:lvl w:ilvl="1">
      <w:start w:val="1"/>
      <w:numFmt w:val="bullet"/>
      <w:lvlText w:val="o"/>
      <w:lvlJc w:val="left"/>
      <w:pPr>
        <w:tabs>
          <w:tab w:val="num" w:pos="1765"/>
        </w:tabs>
        <w:ind w:left="1765" w:hanging="360"/>
      </w:pPr>
      <w:rPr>
        <w:rFonts w:ascii="Courier New" w:hAnsi="Courier New" w:hint="default"/>
      </w:rPr>
    </w:lvl>
    <w:lvl w:ilvl="2">
      <w:start w:val="1"/>
      <w:numFmt w:val="bullet"/>
      <w:lvlText w:val=""/>
      <w:lvlJc w:val="left"/>
      <w:pPr>
        <w:tabs>
          <w:tab w:val="num" w:pos="2485"/>
        </w:tabs>
        <w:ind w:left="2485" w:hanging="360"/>
      </w:pPr>
      <w:rPr>
        <w:rFonts w:ascii="Wingdings" w:hAnsi="Wingdings" w:hint="default"/>
      </w:rPr>
    </w:lvl>
    <w:lvl w:ilvl="3">
      <w:start w:val="1"/>
      <w:numFmt w:val="bullet"/>
      <w:lvlText w:val=""/>
      <w:lvlJc w:val="left"/>
      <w:pPr>
        <w:tabs>
          <w:tab w:val="num" w:pos="3205"/>
        </w:tabs>
        <w:ind w:left="3205" w:hanging="360"/>
      </w:pPr>
      <w:rPr>
        <w:rFonts w:ascii="Symbol" w:hAnsi="Symbol" w:hint="default"/>
      </w:rPr>
    </w:lvl>
    <w:lvl w:ilvl="4">
      <w:start w:val="1"/>
      <w:numFmt w:val="bullet"/>
      <w:lvlText w:val="o"/>
      <w:lvlJc w:val="left"/>
      <w:pPr>
        <w:tabs>
          <w:tab w:val="num" w:pos="3925"/>
        </w:tabs>
        <w:ind w:left="3925" w:hanging="360"/>
      </w:pPr>
      <w:rPr>
        <w:rFonts w:ascii="Courier New" w:hAnsi="Courier New" w:hint="default"/>
      </w:rPr>
    </w:lvl>
    <w:lvl w:ilvl="5">
      <w:start w:val="1"/>
      <w:numFmt w:val="bullet"/>
      <w:lvlText w:val=""/>
      <w:lvlJc w:val="left"/>
      <w:pPr>
        <w:tabs>
          <w:tab w:val="num" w:pos="4645"/>
        </w:tabs>
        <w:ind w:left="4645" w:hanging="360"/>
      </w:pPr>
      <w:rPr>
        <w:rFonts w:ascii="Wingdings" w:hAnsi="Wingdings" w:hint="default"/>
      </w:rPr>
    </w:lvl>
    <w:lvl w:ilvl="6">
      <w:start w:val="1"/>
      <w:numFmt w:val="bullet"/>
      <w:lvlText w:val=""/>
      <w:lvlJc w:val="left"/>
      <w:pPr>
        <w:tabs>
          <w:tab w:val="num" w:pos="5365"/>
        </w:tabs>
        <w:ind w:left="5365" w:hanging="360"/>
      </w:pPr>
      <w:rPr>
        <w:rFonts w:ascii="Symbol" w:hAnsi="Symbol" w:hint="default"/>
      </w:rPr>
    </w:lvl>
    <w:lvl w:ilvl="7">
      <w:start w:val="1"/>
      <w:numFmt w:val="bullet"/>
      <w:lvlText w:val="o"/>
      <w:lvlJc w:val="left"/>
      <w:pPr>
        <w:tabs>
          <w:tab w:val="num" w:pos="6085"/>
        </w:tabs>
        <w:ind w:left="6085" w:hanging="360"/>
      </w:pPr>
      <w:rPr>
        <w:rFonts w:ascii="Courier New" w:hAnsi="Courier New" w:hint="default"/>
      </w:rPr>
    </w:lvl>
    <w:lvl w:ilvl="8">
      <w:start w:val="1"/>
      <w:numFmt w:val="bullet"/>
      <w:lvlText w:val=""/>
      <w:lvlJc w:val="left"/>
      <w:pPr>
        <w:tabs>
          <w:tab w:val="num" w:pos="6805"/>
        </w:tabs>
        <w:ind w:left="6805" w:hanging="360"/>
      </w:pPr>
      <w:rPr>
        <w:rFonts w:ascii="Wingdings" w:hAnsi="Wingdings" w:hint="default"/>
      </w:rPr>
    </w:lvl>
  </w:abstractNum>
  <w:abstractNum w:abstractNumId="8" w15:restartNumberingAfterBreak="0">
    <w:nsid w:val="782D2CB0"/>
    <w:multiLevelType w:val="hybridMultilevel"/>
    <w:tmpl w:val="C450C512"/>
    <w:lvl w:ilvl="0" w:tplc="DDA6DF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E5C60F4"/>
    <w:multiLevelType w:val="hybridMultilevel"/>
    <w:tmpl w:val="5B5E9E88"/>
    <w:lvl w:ilvl="0" w:tplc="5C7C639C">
      <w:start w:val="1"/>
      <w:numFmt w:val="decimal"/>
      <w:pStyle w:val="1"/>
      <w:lvlText w:val="%1."/>
      <w:lvlJc w:val="left"/>
      <w:rPr>
        <w:rFonts w:ascii="Times New Roman" w:eastAsia="Times New Roman" w:hAnsi="Times New Roman" w:cs="Times New Roman"/>
        <w:b/>
        <w:bCs/>
        <w:i/>
        <w:iCs/>
        <w:strike w:val="0"/>
        <w:dstrike w:val="0"/>
        <w:color w:val="000000"/>
        <w:sz w:val="28"/>
        <w:szCs w:val="28"/>
        <w:u w:val="none" w:color="000000"/>
        <w:vertAlign w:val="baseline"/>
      </w:rPr>
    </w:lvl>
    <w:lvl w:ilvl="1" w:tplc="E8E05FF4">
      <w:start w:val="1"/>
      <w:numFmt w:val="lowerLetter"/>
      <w:lvlText w:val="%2"/>
      <w:lvlJc w:val="left"/>
      <w:pPr>
        <w:ind w:left="1788"/>
      </w:pPr>
      <w:rPr>
        <w:rFonts w:ascii="Times New Roman" w:eastAsia="Times New Roman" w:hAnsi="Times New Roman" w:cs="Times New Roman"/>
        <w:b/>
        <w:bCs/>
        <w:i/>
        <w:iCs/>
        <w:strike w:val="0"/>
        <w:dstrike w:val="0"/>
        <w:color w:val="000000"/>
        <w:sz w:val="28"/>
        <w:szCs w:val="28"/>
        <w:u w:val="none" w:color="000000"/>
        <w:vertAlign w:val="baseline"/>
      </w:rPr>
    </w:lvl>
    <w:lvl w:ilvl="2" w:tplc="A76A08E0">
      <w:start w:val="1"/>
      <w:numFmt w:val="lowerRoman"/>
      <w:lvlText w:val="%3"/>
      <w:lvlJc w:val="left"/>
      <w:pPr>
        <w:ind w:left="2508"/>
      </w:pPr>
      <w:rPr>
        <w:rFonts w:ascii="Times New Roman" w:eastAsia="Times New Roman" w:hAnsi="Times New Roman" w:cs="Times New Roman"/>
        <w:b/>
        <w:bCs/>
        <w:i/>
        <w:iCs/>
        <w:strike w:val="0"/>
        <w:dstrike w:val="0"/>
        <w:color w:val="000000"/>
        <w:sz w:val="28"/>
        <w:szCs w:val="28"/>
        <w:u w:val="none" w:color="000000"/>
        <w:vertAlign w:val="baseline"/>
      </w:rPr>
    </w:lvl>
    <w:lvl w:ilvl="3" w:tplc="CBEC99AC">
      <w:start w:val="1"/>
      <w:numFmt w:val="decimal"/>
      <w:lvlText w:val="%4"/>
      <w:lvlJc w:val="left"/>
      <w:pPr>
        <w:ind w:left="3228"/>
      </w:pPr>
      <w:rPr>
        <w:rFonts w:ascii="Times New Roman" w:eastAsia="Times New Roman" w:hAnsi="Times New Roman" w:cs="Times New Roman"/>
        <w:b/>
        <w:bCs/>
        <w:i/>
        <w:iCs/>
        <w:strike w:val="0"/>
        <w:dstrike w:val="0"/>
        <w:color w:val="000000"/>
        <w:sz w:val="28"/>
        <w:szCs w:val="28"/>
        <w:u w:val="none" w:color="000000"/>
        <w:vertAlign w:val="baseline"/>
      </w:rPr>
    </w:lvl>
    <w:lvl w:ilvl="4" w:tplc="FE8ABEDA">
      <w:start w:val="1"/>
      <w:numFmt w:val="lowerLetter"/>
      <w:lvlText w:val="%5"/>
      <w:lvlJc w:val="left"/>
      <w:pPr>
        <w:ind w:left="3948"/>
      </w:pPr>
      <w:rPr>
        <w:rFonts w:ascii="Times New Roman" w:eastAsia="Times New Roman" w:hAnsi="Times New Roman" w:cs="Times New Roman"/>
        <w:b/>
        <w:bCs/>
        <w:i/>
        <w:iCs/>
        <w:strike w:val="0"/>
        <w:dstrike w:val="0"/>
        <w:color w:val="000000"/>
        <w:sz w:val="28"/>
        <w:szCs w:val="28"/>
        <w:u w:val="none" w:color="000000"/>
        <w:vertAlign w:val="baseline"/>
      </w:rPr>
    </w:lvl>
    <w:lvl w:ilvl="5" w:tplc="37004AEC">
      <w:start w:val="1"/>
      <w:numFmt w:val="lowerRoman"/>
      <w:lvlText w:val="%6"/>
      <w:lvlJc w:val="left"/>
      <w:pPr>
        <w:ind w:left="4668"/>
      </w:pPr>
      <w:rPr>
        <w:rFonts w:ascii="Times New Roman" w:eastAsia="Times New Roman" w:hAnsi="Times New Roman" w:cs="Times New Roman"/>
        <w:b/>
        <w:bCs/>
        <w:i/>
        <w:iCs/>
        <w:strike w:val="0"/>
        <w:dstrike w:val="0"/>
        <w:color w:val="000000"/>
        <w:sz w:val="28"/>
        <w:szCs w:val="28"/>
        <w:u w:val="none" w:color="000000"/>
        <w:vertAlign w:val="baseline"/>
      </w:rPr>
    </w:lvl>
    <w:lvl w:ilvl="6" w:tplc="96A6E7A6">
      <w:start w:val="1"/>
      <w:numFmt w:val="decimal"/>
      <w:lvlText w:val="%7"/>
      <w:lvlJc w:val="left"/>
      <w:pPr>
        <w:ind w:left="5388"/>
      </w:pPr>
      <w:rPr>
        <w:rFonts w:ascii="Times New Roman" w:eastAsia="Times New Roman" w:hAnsi="Times New Roman" w:cs="Times New Roman"/>
        <w:b/>
        <w:bCs/>
        <w:i/>
        <w:iCs/>
        <w:strike w:val="0"/>
        <w:dstrike w:val="0"/>
        <w:color w:val="000000"/>
        <w:sz w:val="28"/>
        <w:szCs w:val="28"/>
        <w:u w:val="none" w:color="000000"/>
        <w:vertAlign w:val="baseline"/>
      </w:rPr>
    </w:lvl>
    <w:lvl w:ilvl="7" w:tplc="65E4719C">
      <w:start w:val="1"/>
      <w:numFmt w:val="lowerLetter"/>
      <w:lvlText w:val="%8"/>
      <w:lvlJc w:val="left"/>
      <w:pPr>
        <w:ind w:left="6108"/>
      </w:pPr>
      <w:rPr>
        <w:rFonts w:ascii="Times New Roman" w:eastAsia="Times New Roman" w:hAnsi="Times New Roman" w:cs="Times New Roman"/>
        <w:b/>
        <w:bCs/>
        <w:i/>
        <w:iCs/>
        <w:strike w:val="0"/>
        <w:dstrike w:val="0"/>
        <w:color w:val="000000"/>
        <w:sz w:val="28"/>
        <w:szCs w:val="28"/>
        <w:u w:val="none" w:color="000000"/>
        <w:vertAlign w:val="baseline"/>
      </w:rPr>
    </w:lvl>
    <w:lvl w:ilvl="8" w:tplc="00865EDC">
      <w:start w:val="1"/>
      <w:numFmt w:val="lowerRoman"/>
      <w:lvlText w:val="%9"/>
      <w:lvlJc w:val="left"/>
      <w:pPr>
        <w:ind w:left="6828"/>
      </w:pPr>
      <w:rPr>
        <w:rFonts w:ascii="Times New Roman" w:eastAsia="Times New Roman" w:hAnsi="Times New Roman" w:cs="Times New Roman"/>
        <w:b/>
        <w:bCs/>
        <w:i/>
        <w:iCs/>
        <w:strike w:val="0"/>
        <w:dstrike w:val="0"/>
        <w:color w:val="000000"/>
        <w:sz w:val="28"/>
        <w:szCs w:val="28"/>
        <w:u w:val="none" w:color="000000"/>
        <w:vertAlign w:val="baseline"/>
      </w:rPr>
    </w:lvl>
  </w:abstractNum>
  <w:num w:numId="1">
    <w:abstractNumId w:val="1"/>
  </w:num>
  <w:num w:numId="2">
    <w:abstractNumId w:val="5"/>
  </w:num>
  <w:num w:numId="3">
    <w:abstractNumId w:val="4"/>
  </w:num>
  <w:num w:numId="4">
    <w:abstractNumId w:val="9"/>
  </w:num>
  <w:num w:numId="5">
    <w:abstractNumId w:val="0"/>
  </w:num>
  <w:num w:numId="6">
    <w:abstractNumId w:val="6"/>
  </w:num>
  <w:num w:numId="7">
    <w:abstractNumId w:val="7"/>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CDE"/>
    <w:rsid w:val="00002651"/>
    <w:rsid w:val="00002779"/>
    <w:rsid w:val="000163F0"/>
    <w:rsid w:val="00020A35"/>
    <w:rsid w:val="00037BE0"/>
    <w:rsid w:val="00051F03"/>
    <w:rsid w:val="000528E2"/>
    <w:rsid w:val="000546CF"/>
    <w:rsid w:val="00061364"/>
    <w:rsid w:val="00061483"/>
    <w:rsid w:val="00074D65"/>
    <w:rsid w:val="00084135"/>
    <w:rsid w:val="000976F0"/>
    <w:rsid w:val="000A0D4F"/>
    <w:rsid w:val="000B2E1A"/>
    <w:rsid w:val="000C014E"/>
    <w:rsid w:val="000C60FB"/>
    <w:rsid w:val="000C6A36"/>
    <w:rsid w:val="000D570E"/>
    <w:rsid w:val="000F0922"/>
    <w:rsid w:val="000F3E02"/>
    <w:rsid w:val="0010150A"/>
    <w:rsid w:val="00112D7D"/>
    <w:rsid w:val="00122B36"/>
    <w:rsid w:val="001247B1"/>
    <w:rsid w:val="00127D47"/>
    <w:rsid w:val="00137B5E"/>
    <w:rsid w:val="00141205"/>
    <w:rsid w:val="00155524"/>
    <w:rsid w:val="00162BD4"/>
    <w:rsid w:val="001674D1"/>
    <w:rsid w:val="0017602D"/>
    <w:rsid w:val="00180A93"/>
    <w:rsid w:val="001836F6"/>
    <w:rsid w:val="001E053E"/>
    <w:rsid w:val="001E11BF"/>
    <w:rsid w:val="001E14D9"/>
    <w:rsid w:val="001E376A"/>
    <w:rsid w:val="001F5814"/>
    <w:rsid w:val="002020D3"/>
    <w:rsid w:val="002053C6"/>
    <w:rsid w:val="00207C7F"/>
    <w:rsid w:val="00241E5F"/>
    <w:rsid w:val="0024229E"/>
    <w:rsid w:val="00242803"/>
    <w:rsid w:val="00243298"/>
    <w:rsid w:val="00247771"/>
    <w:rsid w:val="00264436"/>
    <w:rsid w:val="00264C15"/>
    <w:rsid w:val="00264E19"/>
    <w:rsid w:val="00266A5C"/>
    <w:rsid w:val="00293885"/>
    <w:rsid w:val="002B76F9"/>
    <w:rsid w:val="002B7A34"/>
    <w:rsid w:val="002C113D"/>
    <w:rsid w:val="002C20AE"/>
    <w:rsid w:val="002C742F"/>
    <w:rsid w:val="00324E2E"/>
    <w:rsid w:val="00326A40"/>
    <w:rsid w:val="003319DC"/>
    <w:rsid w:val="00337616"/>
    <w:rsid w:val="00340FF2"/>
    <w:rsid w:val="00347552"/>
    <w:rsid w:val="00351F9B"/>
    <w:rsid w:val="003629C8"/>
    <w:rsid w:val="00373795"/>
    <w:rsid w:val="00373F73"/>
    <w:rsid w:val="003872C6"/>
    <w:rsid w:val="003B4CD0"/>
    <w:rsid w:val="003C2E24"/>
    <w:rsid w:val="003D092F"/>
    <w:rsid w:val="003D168B"/>
    <w:rsid w:val="003E0BB0"/>
    <w:rsid w:val="003F3DCD"/>
    <w:rsid w:val="003F4D36"/>
    <w:rsid w:val="00410A22"/>
    <w:rsid w:val="00435F6D"/>
    <w:rsid w:val="00440B97"/>
    <w:rsid w:val="00447780"/>
    <w:rsid w:val="004646EB"/>
    <w:rsid w:val="00494D8D"/>
    <w:rsid w:val="004A2153"/>
    <w:rsid w:val="004E4CEC"/>
    <w:rsid w:val="004E59B6"/>
    <w:rsid w:val="004F1B45"/>
    <w:rsid w:val="005101F5"/>
    <w:rsid w:val="005151D9"/>
    <w:rsid w:val="0051586D"/>
    <w:rsid w:val="0051684D"/>
    <w:rsid w:val="005226FC"/>
    <w:rsid w:val="00531CBB"/>
    <w:rsid w:val="00532EC8"/>
    <w:rsid w:val="0054334A"/>
    <w:rsid w:val="0054339E"/>
    <w:rsid w:val="00562684"/>
    <w:rsid w:val="005819B8"/>
    <w:rsid w:val="00592241"/>
    <w:rsid w:val="00594F73"/>
    <w:rsid w:val="005A2005"/>
    <w:rsid w:val="005A3E40"/>
    <w:rsid w:val="005A7C55"/>
    <w:rsid w:val="005C1154"/>
    <w:rsid w:val="005C4CA2"/>
    <w:rsid w:val="005D698F"/>
    <w:rsid w:val="005D7728"/>
    <w:rsid w:val="005D7C00"/>
    <w:rsid w:val="005E6EE8"/>
    <w:rsid w:val="006005C2"/>
    <w:rsid w:val="00605826"/>
    <w:rsid w:val="006077BC"/>
    <w:rsid w:val="006324F0"/>
    <w:rsid w:val="0063253F"/>
    <w:rsid w:val="00641B99"/>
    <w:rsid w:val="00652ADF"/>
    <w:rsid w:val="00657E0D"/>
    <w:rsid w:val="0066006F"/>
    <w:rsid w:val="00682B45"/>
    <w:rsid w:val="00686E6B"/>
    <w:rsid w:val="006A417B"/>
    <w:rsid w:val="006B4CDB"/>
    <w:rsid w:val="006B602F"/>
    <w:rsid w:val="006B6CC9"/>
    <w:rsid w:val="006C635F"/>
    <w:rsid w:val="006E0929"/>
    <w:rsid w:val="007049BE"/>
    <w:rsid w:val="00713538"/>
    <w:rsid w:val="00773956"/>
    <w:rsid w:val="00793E7A"/>
    <w:rsid w:val="007A05FA"/>
    <w:rsid w:val="007A0864"/>
    <w:rsid w:val="007B1D88"/>
    <w:rsid w:val="007B285F"/>
    <w:rsid w:val="007B31D3"/>
    <w:rsid w:val="007B6C2C"/>
    <w:rsid w:val="007B76CB"/>
    <w:rsid w:val="007C09E3"/>
    <w:rsid w:val="007D030B"/>
    <w:rsid w:val="007D052B"/>
    <w:rsid w:val="00804B71"/>
    <w:rsid w:val="0080620F"/>
    <w:rsid w:val="00810958"/>
    <w:rsid w:val="008134D7"/>
    <w:rsid w:val="00830AFF"/>
    <w:rsid w:val="00832F3F"/>
    <w:rsid w:val="00843DC2"/>
    <w:rsid w:val="00846756"/>
    <w:rsid w:val="008634D2"/>
    <w:rsid w:val="00876EE3"/>
    <w:rsid w:val="00891CDE"/>
    <w:rsid w:val="00893908"/>
    <w:rsid w:val="008A3E15"/>
    <w:rsid w:val="008A538A"/>
    <w:rsid w:val="008B3E03"/>
    <w:rsid w:val="008C7D32"/>
    <w:rsid w:val="008D2707"/>
    <w:rsid w:val="008E6805"/>
    <w:rsid w:val="008F59FB"/>
    <w:rsid w:val="0090139D"/>
    <w:rsid w:val="00901A92"/>
    <w:rsid w:val="009034E5"/>
    <w:rsid w:val="009109A6"/>
    <w:rsid w:val="009244AD"/>
    <w:rsid w:val="00924C11"/>
    <w:rsid w:val="00932235"/>
    <w:rsid w:val="009631CB"/>
    <w:rsid w:val="009725C9"/>
    <w:rsid w:val="00981C84"/>
    <w:rsid w:val="00983831"/>
    <w:rsid w:val="009874D8"/>
    <w:rsid w:val="00987B22"/>
    <w:rsid w:val="00990E55"/>
    <w:rsid w:val="00991DD9"/>
    <w:rsid w:val="00992221"/>
    <w:rsid w:val="009940AB"/>
    <w:rsid w:val="00996EC3"/>
    <w:rsid w:val="009A07C6"/>
    <w:rsid w:val="009A381E"/>
    <w:rsid w:val="009A4F97"/>
    <w:rsid w:val="009A75AF"/>
    <w:rsid w:val="009D094E"/>
    <w:rsid w:val="009F624D"/>
    <w:rsid w:val="00A01128"/>
    <w:rsid w:val="00A1646B"/>
    <w:rsid w:val="00A16C92"/>
    <w:rsid w:val="00A27521"/>
    <w:rsid w:val="00A33284"/>
    <w:rsid w:val="00A37D23"/>
    <w:rsid w:val="00A41305"/>
    <w:rsid w:val="00A41919"/>
    <w:rsid w:val="00A535D3"/>
    <w:rsid w:val="00A63211"/>
    <w:rsid w:val="00A66E1B"/>
    <w:rsid w:val="00A70143"/>
    <w:rsid w:val="00A70B8F"/>
    <w:rsid w:val="00A73FC7"/>
    <w:rsid w:val="00A75F2E"/>
    <w:rsid w:val="00AA102F"/>
    <w:rsid w:val="00AB2B4E"/>
    <w:rsid w:val="00AB7CA4"/>
    <w:rsid w:val="00AC0E5E"/>
    <w:rsid w:val="00AD3A14"/>
    <w:rsid w:val="00AE0715"/>
    <w:rsid w:val="00AE2434"/>
    <w:rsid w:val="00AE7164"/>
    <w:rsid w:val="00AF6A0E"/>
    <w:rsid w:val="00B013E0"/>
    <w:rsid w:val="00B14509"/>
    <w:rsid w:val="00B34FD1"/>
    <w:rsid w:val="00B40216"/>
    <w:rsid w:val="00B404BF"/>
    <w:rsid w:val="00B40F8E"/>
    <w:rsid w:val="00B54D33"/>
    <w:rsid w:val="00B8112C"/>
    <w:rsid w:val="00B86003"/>
    <w:rsid w:val="00B907B1"/>
    <w:rsid w:val="00B9392B"/>
    <w:rsid w:val="00BB033C"/>
    <w:rsid w:val="00BD1195"/>
    <w:rsid w:val="00BD275D"/>
    <w:rsid w:val="00BF2420"/>
    <w:rsid w:val="00BF7F23"/>
    <w:rsid w:val="00C00A62"/>
    <w:rsid w:val="00C03674"/>
    <w:rsid w:val="00C1378A"/>
    <w:rsid w:val="00C14B30"/>
    <w:rsid w:val="00C24A06"/>
    <w:rsid w:val="00C3496E"/>
    <w:rsid w:val="00C34AA0"/>
    <w:rsid w:val="00C3699C"/>
    <w:rsid w:val="00C42D75"/>
    <w:rsid w:val="00C50B9B"/>
    <w:rsid w:val="00C6115E"/>
    <w:rsid w:val="00C67616"/>
    <w:rsid w:val="00C72F2F"/>
    <w:rsid w:val="00C81E56"/>
    <w:rsid w:val="00C8787D"/>
    <w:rsid w:val="00C958ED"/>
    <w:rsid w:val="00CA72F2"/>
    <w:rsid w:val="00CD0B1D"/>
    <w:rsid w:val="00CD144D"/>
    <w:rsid w:val="00CD47A1"/>
    <w:rsid w:val="00CD7764"/>
    <w:rsid w:val="00CD7CD2"/>
    <w:rsid w:val="00CE2D5C"/>
    <w:rsid w:val="00CE6A46"/>
    <w:rsid w:val="00CF262E"/>
    <w:rsid w:val="00D11D71"/>
    <w:rsid w:val="00D15AD5"/>
    <w:rsid w:val="00D1773F"/>
    <w:rsid w:val="00D20A38"/>
    <w:rsid w:val="00D231B3"/>
    <w:rsid w:val="00D3226B"/>
    <w:rsid w:val="00D44A8F"/>
    <w:rsid w:val="00D520C6"/>
    <w:rsid w:val="00D52AF1"/>
    <w:rsid w:val="00D67DD3"/>
    <w:rsid w:val="00D716DB"/>
    <w:rsid w:val="00D730CF"/>
    <w:rsid w:val="00D76519"/>
    <w:rsid w:val="00D81FFB"/>
    <w:rsid w:val="00D94E9C"/>
    <w:rsid w:val="00DA46E4"/>
    <w:rsid w:val="00DC06AE"/>
    <w:rsid w:val="00DC11B4"/>
    <w:rsid w:val="00DC545E"/>
    <w:rsid w:val="00DE2C66"/>
    <w:rsid w:val="00DE4122"/>
    <w:rsid w:val="00DE4BD5"/>
    <w:rsid w:val="00E11097"/>
    <w:rsid w:val="00E25C6B"/>
    <w:rsid w:val="00E27524"/>
    <w:rsid w:val="00E275AA"/>
    <w:rsid w:val="00E31062"/>
    <w:rsid w:val="00E31FCE"/>
    <w:rsid w:val="00E350F8"/>
    <w:rsid w:val="00E42656"/>
    <w:rsid w:val="00E45204"/>
    <w:rsid w:val="00E52D2E"/>
    <w:rsid w:val="00E642D4"/>
    <w:rsid w:val="00E65A9B"/>
    <w:rsid w:val="00E70FEF"/>
    <w:rsid w:val="00E73229"/>
    <w:rsid w:val="00E80818"/>
    <w:rsid w:val="00E8596F"/>
    <w:rsid w:val="00E87CEC"/>
    <w:rsid w:val="00EB47B6"/>
    <w:rsid w:val="00ED75AF"/>
    <w:rsid w:val="00EE04A1"/>
    <w:rsid w:val="00F038E4"/>
    <w:rsid w:val="00F117D1"/>
    <w:rsid w:val="00F27D00"/>
    <w:rsid w:val="00F327A1"/>
    <w:rsid w:val="00F3464F"/>
    <w:rsid w:val="00F46E53"/>
    <w:rsid w:val="00F54D16"/>
    <w:rsid w:val="00F57F40"/>
    <w:rsid w:val="00F64BD4"/>
    <w:rsid w:val="00F65896"/>
    <w:rsid w:val="00F673E5"/>
    <w:rsid w:val="00F74CD7"/>
    <w:rsid w:val="00F81C7C"/>
    <w:rsid w:val="00F83647"/>
    <w:rsid w:val="00F91C4D"/>
    <w:rsid w:val="00FA7B57"/>
    <w:rsid w:val="00FB464B"/>
    <w:rsid w:val="00FB75F6"/>
    <w:rsid w:val="00FC1201"/>
    <w:rsid w:val="00FD6FC2"/>
    <w:rsid w:val="00FD7D3A"/>
    <w:rsid w:val="00FE21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6B7F89"/>
  <w15:docId w15:val="{D04FDA26-CCD8-4ABB-B6F9-4714AB2B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D2E"/>
    <w:pPr>
      <w:spacing w:after="13" w:line="267" w:lineRule="auto"/>
      <w:ind w:right="3" w:firstLine="700"/>
      <w:jc w:val="both"/>
    </w:pPr>
    <w:rPr>
      <w:rFonts w:ascii="Times New Roman" w:hAnsi="Times New Roman"/>
      <w:color w:val="000000"/>
      <w:sz w:val="28"/>
      <w:szCs w:val="22"/>
      <w:lang w:val="ru-RU" w:eastAsia="ru-RU"/>
    </w:rPr>
  </w:style>
  <w:style w:type="paragraph" w:styleId="1">
    <w:name w:val="heading 1"/>
    <w:basedOn w:val="a"/>
    <w:next w:val="a"/>
    <w:link w:val="10"/>
    <w:uiPriority w:val="99"/>
    <w:qFormat/>
    <w:rsid w:val="00E52D2E"/>
    <w:pPr>
      <w:keepNext/>
      <w:keepLines/>
      <w:numPr>
        <w:numId w:val="4"/>
      </w:numPr>
      <w:spacing w:after="4" w:line="271" w:lineRule="auto"/>
      <w:ind w:left="718" w:right="0" w:hanging="10"/>
      <w:jc w:val="left"/>
      <w:outlineLvl w:val="0"/>
    </w:pPr>
    <w:rPr>
      <w:b/>
      <w: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2D2E"/>
    <w:rPr>
      <w:rFonts w:ascii="Times New Roman" w:hAnsi="Times New Roman" w:cs="Times New Roman"/>
      <w:b/>
      <w:i/>
      <w:color w:val="000000"/>
      <w:sz w:val="22"/>
    </w:rPr>
  </w:style>
  <w:style w:type="table" w:customStyle="1" w:styleId="TableGrid">
    <w:name w:val="TableGrid"/>
    <w:uiPriority w:val="99"/>
    <w:rsid w:val="00E52D2E"/>
    <w:rPr>
      <w:sz w:val="22"/>
      <w:szCs w:val="22"/>
      <w:lang w:val="ru-RU" w:eastAsia="ru-RU"/>
    </w:rPr>
    <w:tblPr>
      <w:tblCellMar>
        <w:top w:w="0" w:type="dxa"/>
        <w:left w:w="0" w:type="dxa"/>
        <w:bottom w:w="0" w:type="dxa"/>
        <w:right w:w="0" w:type="dxa"/>
      </w:tblCellMar>
    </w:tblPr>
  </w:style>
  <w:style w:type="paragraph" w:styleId="a3">
    <w:name w:val="endnote text"/>
    <w:basedOn w:val="a"/>
    <w:link w:val="a4"/>
    <w:uiPriority w:val="99"/>
    <w:semiHidden/>
    <w:rsid w:val="0051684D"/>
    <w:pPr>
      <w:spacing w:after="0" w:line="240" w:lineRule="auto"/>
    </w:pPr>
    <w:rPr>
      <w:sz w:val="20"/>
      <w:szCs w:val="20"/>
    </w:rPr>
  </w:style>
  <w:style w:type="character" w:customStyle="1" w:styleId="a4">
    <w:name w:val="Текст концевой сноски Знак"/>
    <w:link w:val="a3"/>
    <w:uiPriority w:val="99"/>
    <w:semiHidden/>
    <w:locked/>
    <w:rsid w:val="0051684D"/>
    <w:rPr>
      <w:rFonts w:ascii="Times New Roman" w:hAnsi="Times New Roman" w:cs="Times New Roman"/>
      <w:color w:val="000000"/>
      <w:sz w:val="20"/>
      <w:szCs w:val="20"/>
    </w:rPr>
  </w:style>
  <w:style w:type="character" w:styleId="a5">
    <w:name w:val="endnote reference"/>
    <w:uiPriority w:val="99"/>
    <w:semiHidden/>
    <w:rsid w:val="0051684D"/>
    <w:rPr>
      <w:rFonts w:cs="Times New Roman"/>
      <w:vertAlign w:val="superscript"/>
    </w:rPr>
  </w:style>
  <w:style w:type="paragraph" w:styleId="a6">
    <w:name w:val="Balloon Text"/>
    <w:basedOn w:val="a"/>
    <w:link w:val="a7"/>
    <w:uiPriority w:val="99"/>
    <w:semiHidden/>
    <w:rsid w:val="0090139D"/>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90139D"/>
    <w:rPr>
      <w:rFonts w:ascii="Tahoma" w:hAnsi="Tahoma" w:cs="Tahoma"/>
      <w:color w:val="000000"/>
      <w:sz w:val="16"/>
      <w:szCs w:val="16"/>
    </w:rPr>
  </w:style>
  <w:style w:type="paragraph" w:styleId="a8">
    <w:name w:val="footer"/>
    <w:basedOn w:val="a"/>
    <w:link w:val="a9"/>
    <w:uiPriority w:val="99"/>
    <w:rsid w:val="00D3226B"/>
    <w:pPr>
      <w:tabs>
        <w:tab w:val="center" w:pos="4819"/>
        <w:tab w:val="right" w:pos="9639"/>
      </w:tabs>
    </w:pPr>
  </w:style>
  <w:style w:type="character" w:customStyle="1" w:styleId="a9">
    <w:name w:val="Нижний колонтитул Знак"/>
    <w:link w:val="a8"/>
    <w:uiPriority w:val="99"/>
    <w:semiHidden/>
    <w:rsid w:val="003723AA"/>
    <w:rPr>
      <w:rFonts w:ascii="Times New Roman" w:hAnsi="Times New Roman"/>
      <w:color w:val="000000"/>
      <w:sz w:val="28"/>
      <w:lang w:val="ru-RU" w:eastAsia="ru-RU"/>
    </w:rPr>
  </w:style>
  <w:style w:type="paragraph" w:styleId="aa">
    <w:name w:val="header"/>
    <w:basedOn w:val="a"/>
    <w:link w:val="ab"/>
    <w:uiPriority w:val="99"/>
    <w:unhideWhenUsed/>
    <w:rsid w:val="002C113D"/>
    <w:pPr>
      <w:tabs>
        <w:tab w:val="center" w:pos="4680"/>
        <w:tab w:val="right" w:pos="9360"/>
      </w:tabs>
      <w:spacing w:after="0" w:line="240" w:lineRule="auto"/>
      <w:ind w:right="0" w:firstLine="0"/>
      <w:jc w:val="left"/>
    </w:pPr>
    <w:rPr>
      <w:rFonts w:ascii="Calibri" w:hAnsi="Calibri"/>
      <w:color w:val="auto"/>
      <w:sz w:val="22"/>
      <w:lang w:val="uk-UA" w:eastAsia="uk-UA"/>
    </w:rPr>
  </w:style>
  <w:style w:type="character" w:customStyle="1" w:styleId="ab">
    <w:name w:val="Верхний колонтитул Знак"/>
    <w:basedOn w:val="a0"/>
    <w:link w:val="aa"/>
    <w:uiPriority w:val="99"/>
    <w:rsid w:val="002C113D"/>
  </w:style>
  <w:style w:type="table" w:styleId="ac">
    <w:name w:val="Table Grid"/>
    <w:basedOn w:val="a1"/>
    <w:locked/>
    <w:rsid w:val="00863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Pages>
  <Words>3753</Words>
  <Characters>2140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132</cp:revision>
  <cp:lastPrinted>2021-01-22T08:31:00Z</cp:lastPrinted>
  <dcterms:created xsi:type="dcterms:W3CDTF">2017-02-21T09:05:00Z</dcterms:created>
  <dcterms:modified xsi:type="dcterms:W3CDTF">2021-01-22T08:32:00Z</dcterms:modified>
</cp:coreProperties>
</file>