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B8D" w:rsidRPr="00BB42CA" w:rsidRDefault="00BB0B8D" w:rsidP="00BB0B8D">
      <w:pPr>
        <w:pStyle w:val="ShapkaDocumentu"/>
        <w:ind w:left="8222"/>
        <w:rPr>
          <w:rFonts w:ascii="Times New Roman" w:hAnsi="Times New Roman"/>
          <w:sz w:val="28"/>
          <w:szCs w:val="28"/>
        </w:rPr>
      </w:pPr>
      <w:r w:rsidRPr="00BB42CA">
        <w:rPr>
          <w:rFonts w:ascii="Times New Roman" w:hAnsi="Times New Roman"/>
          <w:sz w:val="28"/>
          <w:szCs w:val="28"/>
        </w:rPr>
        <w:t>ЗАТВЕРДЖЕНО</w:t>
      </w:r>
      <w:r w:rsidRPr="00BB42CA">
        <w:rPr>
          <w:rFonts w:ascii="Times New Roman" w:hAnsi="Times New Roman"/>
          <w:sz w:val="28"/>
          <w:szCs w:val="28"/>
        </w:rPr>
        <w:br/>
        <w:t xml:space="preserve">розпорядженням голови </w:t>
      </w:r>
      <w:r w:rsidRPr="00BB42CA">
        <w:rPr>
          <w:rFonts w:ascii="Times New Roman" w:hAnsi="Times New Roman"/>
          <w:sz w:val="28"/>
          <w:szCs w:val="28"/>
        </w:rPr>
        <w:br/>
        <w:t xml:space="preserve">Київської обласної державної адміністрації </w:t>
      </w:r>
      <w:r w:rsidRPr="00BB42CA">
        <w:rPr>
          <w:rFonts w:ascii="Times New Roman" w:hAnsi="Times New Roman"/>
          <w:sz w:val="28"/>
          <w:szCs w:val="28"/>
        </w:rPr>
        <w:br/>
        <w:t>від _______ 2021 р. № ______</w:t>
      </w:r>
    </w:p>
    <w:p w:rsidR="00BB0B8D" w:rsidRPr="00BB42CA" w:rsidRDefault="00BB0B8D" w:rsidP="00BB0B8D">
      <w:pPr>
        <w:pStyle w:val="a3"/>
        <w:spacing w:before="120"/>
        <w:rPr>
          <w:rFonts w:ascii="Times New Roman" w:hAnsi="Times New Roman"/>
          <w:b w:val="0"/>
          <w:sz w:val="28"/>
          <w:szCs w:val="28"/>
        </w:rPr>
      </w:pPr>
      <w:r w:rsidRPr="00BB42CA">
        <w:rPr>
          <w:rFonts w:ascii="Times New Roman" w:hAnsi="Times New Roman"/>
          <w:b w:val="0"/>
          <w:sz w:val="28"/>
          <w:szCs w:val="28"/>
        </w:rPr>
        <w:t>Проект ПЛАНУ ЗАХОДІВ</w:t>
      </w:r>
      <w:r w:rsidRPr="00BB42CA">
        <w:rPr>
          <w:rFonts w:ascii="Times New Roman" w:hAnsi="Times New Roman"/>
          <w:b w:val="0"/>
          <w:sz w:val="28"/>
          <w:szCs w:val="28"/>
        </w:rPr>
        <w:br/>
        <w:t xml:space="preserve">на 2021 і 2022 роки з реалізації Національної стратегії із створення безбар’єрного </w:t>
      </w:r>
      <w:r w:rsidRPr="00BB42CA">
        <w:rPr>
          <w:rFonts w:ascii="Times New Roman" w:hAnsi="Times New Roman"/>
          <w:b w:val="0"/>
          <w:sz w:val="28"/>
          <w:szCs w:val="28"/>
        </w:rPr>
        <w:br/>
        <w:t>простору в Україні на період до 2030 року</w:t>
      </w:r>
    </w:p>
    <w:p w:rsidR="00345A91" w:rsidRPr="00BB42CA" w:rsidRDefault="00345A91">
      <w:pPr>
        <w:rPr>
          <w:lang w:val="uk-UA"/>
        </w:rPr>
      </w:pPr>
    </w:p>
    <w:tbl>
      <w:tblPr>
        <w:tblW w:w="14163" w:type="dxa"/>
        <w:tblInd w:w="284" w:type="dxa"/>
        <w:tblLook w:val="04A0" w:firstRow="1" w:lastRow="0" w:firstColumn="1" w:lastColumn="0" w:noHBand="0" w:noVBand="1"/>
      </w:tblPr>
      <w:tblGrid>
        <w:gridCol w:w="660"/>
        <w:gridCol w:w="3309"/>
        <w:gridCol w:w="3119"/>
        <w:gridCol w:w="2835"/>
        <w:gridCol w:w="1617"/>
        <w:gridCol w:w="2623"/>
      </w:tblGrid>
      <w:tr w:rsidR="00BB42CA" w:rsidRPr="00BB0B8D" w:rsidTr="005E500A">
        <w:trPr>
          <w:trHeight w:val="779"/>
          <w:tblHeader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Найменування завдання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Найменування заходу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Індикатор виконання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Строк виконання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Відповідальні виконавці </w:t>
            </w:r>
          </w:p>
        </w:tc>
      </w:tr>
      <w:tr w:rsidR="00BB0B8D" w:rsidRPr="00BB0B8D" w:rsidTr="00BB42CA">
        <w:trPr>
          <w:trHeight w:val="2170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інвентаризації об’єктів спортивної інфраструктури для визначення їх стану та рівня доступності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збору інформації щодо наявної спортивної інфраструктури, визначення її технічного стану та рівня доступності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проведено інвентаризацію усіх об’єктів спортивної інфраструктури, визначено їх технічний стан та рівень доступності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2021 р.</w:t>
            </w:r>
          </w:p>
        </w:tc>
        <w:tc>
          <w:tcPr>
            <w:tcW w:w="26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молоді і спорту, райдержадміністрації,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органи місцевого самоврядування (за згодою)</w:t>
            </w:r>
          </w:p>
        </w:tc>
      </w:tr>
      <w:tr w:rsidR="00BB0B8D" w:rsidRPr="005E500A" w:rsidTr="00BB42CA">
        <w:trPr>
          <w:trHeight w:val="372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Формування мережі сучасних спортивних споруд за місцем проживання, у місцях масового відпочинку із забезпеченням їх доступності для різних верств населення, зокрема для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аналізу фактичного забезпечення спортивними спорудами населення за місцем проживання та у місцях масового відпочинку, а також вивчення питання щодо їх доступності, відповідності соціальним стандартам та потребам громади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підготовлено пропозиції щодо будівництва нових або реконструкції наявних спортивних споруд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регіонального розвитку, Управління молоді та спорту Київської обласної державної адміністрації; райдержадміністрації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органи місцевого самоврядування (за згодою)</w:t>
            </w:r>
          </w:p>
        </w:tc>
      </w:tr>
      <w:tr w:rsidR="00BB0B8D" w:rsidRPr="005E500A" w:rsidTr="00BB42CA">
        <w:trPr>
          <w:trHeight w:val="465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безперешкодного доступу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до спортивних споруд, що побудовані в Україні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дотримання вимог щодо доступності спортивних споруд для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Міністерством молоді та спорту України надано рекомендації місцевим органам виконавчої влади та органам місцевого самоврядування стосовно дотримання вимог щодо доступності спортивних споруд для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під час реконструкції існуючих об’єктів спортивної інфраструктури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2022 р. 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молоді і спорту адміністрації; райдержадміністрації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органи місцевого самоврядування (за згодою)</w:t>
            </w:r>
          </w:p>
        </w:tc>
      </w:tr>
      <w:tr w:rsidR="00BB0B8D" w:rsidRPr="00BB0B8D" w:rsidTr="00BB42CA">
        <w:trPr>
          <w:trHeight w:val="403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Сприяння підвищенню міської мобільності та розвитку мережі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паркувальних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зон і пасажирських терміналів для пересадки з індивідуального транспорту на міський транспорт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покращення пішохідної інфраструктури,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паркувальних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зон, обмеження швидкості руху транспортних засобів та розвиток інфраструктури для руху велосипедів (зокрема встановлення світлофорів, зокрема озвучених для потреб осіб з вадами слуху та оснащених для потреб осіб з вадами зору)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забезпечено проектування елементів автомобільних доріг у межах населених пунктів із забезпечення доступності для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(пологі заїзди/з’їзди шляхом пониження бортового каменю тощо)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2021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регіонального розвитку, Служба автомобільних доріг у Київській області, Органи місцевого самоврядування (за згодою)</w:t>
            </w:r>
          </w:p>
        </w:tc>
      </w:tr>
      <w:tr w:rsidR="00BB0B8D" w:rsidRPr="00BB0B8D" w:rsidTr="00BB42CA">
        <w:trPr>
          <w:trHeight w:val="310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забезпечено здійснення заходів для дублювання або заміну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кількарівневих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пішохідних переходів у населених пунктах наземними переходами, адаптованими для потреб осіб з вадами слуху та оснащеними для потреб осіб з вадами зору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2021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регіонального розвитку, Служба автомобільних доріг у Київській області, органи місцевого самоврядування (за згодою)</w:t>
            </w:r>
          </w:p>
        </w:tc>
      </w:tr>
      <w:tr w:rsidR="00BB0B8D" w:rsidRPr="00BB0B8D" w:rsidTr="00BB42CA">
        <w:trPr>
          <w:trHeight w:val="279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доступності транспортних послуг для всіх громадян, зокрема для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населення, шляхом створення для них доступного середовища для вільного пересування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придбання шкільних автобусів, пристосованих для перевезення дітей, які пересуваються у кріслах колісних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створено покращені умови для перевезення школярів, зокрема дітей, які пересуваються у кріслах колісних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органи місцевого самоврядування</w:t>
            </w:r>
          </w:p>
        </w:tc>
      </w:tr>
      <w:tr w:rsidR="00BB0B8D" w:rsidRPr="00BB0B8D" w:rsidTr="00BB42CA">
        <w:trPr>
          <w:trHeight w:val="393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Поступове оновлення рухомого складу для пасажирських перевезень, заміна концепції використання міні-автобусів на більш гнучкі та екологічно чисті системи, обладнані для перевезення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запровадження поетапного збільшення на маршрутах загального користування кількості транспортних засобів, пристосованих для перевезення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збільшено частку транспортних засобів загального користування, пристосованих для користування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пасажирських перевезень, органи місцевого самоврядування (за згодою)</w:t>
            </w:r>
          </w:p>
        </w:tc>
      </w:tr>
      <w:tr w:rsidR="00BB0B8D" w:rsidRPr="00BB0B8D" w:rsidTr="00BB42CA">
        <w:trPr>
          <w:trHeight w:val="217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умов для працівників транспортної галузі, що належать до категорій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проведення тренінгів з питань толерантності, майстер-класів з надання екстреної медичної допомоги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підвищено обізнаність персоналу об’єктів транспортної інфраструктури з питань толерантності та надання екстреної медичної допомоги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2021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охорони здоров'я, Департамент економіки та цифровізації, районні державні адміністрації</w:t>
            </w:r>
          </w:p>
        </w:tc>
      </w:tr>
      <w:tr w:rsidR="00BB0B8D" w:rsidRPr="005E500A" w:rsidTr="00BB42CA">
        <w:trPr>
          <w:trHeight w:val="310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доступності будівель, приміщень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вжиття заходів для організації безперешкодного доступу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до будівель, приміщень соціального захисту 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об’єкти облаштовано з урахуванням потреб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населення; у тому числі облаштування санітарно-гігієнічних приміщень для осіб з інвалідністю 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регіонального розвитку та інші структурні підрозділи Київської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облдержадмінінстрації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адмністрації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</w:t>
            </w:r>
          </w:p>
        </w:tc>
      </w:tr>
      <w:tr w:rsidR="00BB0B8D" w:rsidRPr="00BB0B8D" w:rsidTr="00BB42CA">
        <w:trPr>
          <w:trHeight w:val="5715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8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захисту і безпеки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у надзвичайних ситуаціях, зокрема в разі виникнення загрози збройних конфліктів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 розроблення та включення до регіональних і місцевих програм цивільного захисту питань щодо забезпечення доступу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до захисних споруд цивільного захисту, зокрема проведення оцінки потреб, планування фінансування для створення умов, визначення строків облаштування споруд цивільного захисту засобами, що забезпечують такий доступ 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включено питання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в програми цивільного захисту, що реалізуються в Київській області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квартал 2021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цивільного захисту, оборони та взаємодії з правоохоронними органами</w:t>
            </w:r>
          </w:p>
        </w:tc>
      </w:tr>
      <w:tr w:rsidR="00BB0B8D" w:rsidRPr="00BB0B8D" w:rsidTr="00BB42CA">
        <w:trPr>
          <w:trHeight w:val="527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2) проведення моніторингу дотримання прав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у разі виникнення надзвичайних ситуацій за участю громадських об’єднань, зокрема щодо забезпечення доступності захисних споруд цивільного захисту, наявності достатньої кількості доступного транспорту для евакуації до найближчої споруди цивільного захисту, а також рівня підготовки персоналу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результати моніторингу опубліковано на офіційних веб-сайтах органів влади та органів місцевого самоврядування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цивільного захисту, оборони та взаємодії з правоохоронними органами,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</w:p>
        </w:tc>
      </w:tr>
      <w:tr w:rsidR="00BB0B8D" w:rsidRPr="00BB0B8D" w:rsidTr="00BB42CA">
        <w:trPr>
          <w:trHeight w:val="279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3) проведення інформування населення про сховища в населених пунктах, обладнані для перебування в них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відомості про сховища розміщено на інформаційних ресурсах 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 квартал 2021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цивільного захисту, оборони та взаємодії з правоохоронними органами,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</w:t>
            </w:r>
          </w:p>
        </w:tc>
      </w:tr>
      <w:tr w:rsidR="00BB0B8D" w:rsidRPr="00BB0B8D" w:rsidTr="00BB42CA">
        <w:trPr>
          <w:trHeight w:val="390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Пристосування головних входів до місцевих держадміністрацій для використання особами з інвалідністю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відповідних будівельних / ремонтних робіт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забезпечено встановлення пандусів, тактильної плитки, поручнів, адаптацію вхідних дверей для осіб з інвалідністю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регіонального розвитку,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</w:p>
        </w:tc>
      </w:tr>
      <w:tr w:rsidR="00BB0B8D" w:rsidRPr="005E500A" w:rsidTr="00BB42CA">
        <w:trPr>
          <w:trHeight w:val="372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Створення умов для поєднання працівниками професійних і сімейних обов’язків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діяльності дитячих кімнат в установах та організаціях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збільшено кількість функціонуючих дитячих кімнат в установах та організаціях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регіонального розвитку, департамент соціального захисту населення, управління споруд Київської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облдержадмінінстрації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самоврядування, інші установи та організації</w:t>
            </w:r>
          </w:p>
        </w:tc>
      </w:tr>
      <w:tr w:rsidR="00BB0B8D" w:rsidRPr="005E500A" w:rsidTr="00BB42CA">
        <w:trPr>
          <w:trHeight w:val="620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12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збору і поширення достовірної інформації про доступність об’єктів фізичного оточення, а також встановлення вимог до публічних закладів щодо інформування про наявні умови доступності їх будівель і приміщень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за участю громадських організацій моніторингу та оцінки ступеня безбар’єрності об’єктів фізичного оточення і послуг для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з урахуванням гендерного аспекту (відповідно до Порядку проведення моніторингу та оцінки ступеня безбар’єрності об’єктів фізичного оточення і послуг для осіб з інвалідністю, затвердженого постановою Кабінету Міністрів України від 26 травня 2021 р. № 537)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опубліковано на офіційних веб-сайтах відповідальних виконавців результати моніторингу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містобудування та архітектури, громадські організації,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</w:t>
            </w:r>
          </w:p>
        </w:tc>
      </w:tr>
      <w:tr w:rsidR="00BB0B8D" w:rsidRPr="00BB0B8D" w:rsidTr="00BB42CA">
        <w:trPr>
          <w:trHeight w:val="341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збору і поширення достовірної інформації про доступність об’єктів фізичного оточення, а також встановлення вимог до публічних закладів щодо інформування про наявні умови доступності їх будівель і приміщень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збір даних у сфері транспорту, транспортно-дорожньої інфраструктури про створення умов доступності транспорту та об’єктів транспортної інфраструктури для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результати моніторингу розміщено на офіційних веб-сайтах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щороку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пасажирських перевезень, органи місцевого самоврядування, Управління комунікацій</w:t>
            </w:r>
          </w:p>
        </w:tc>
      </w:tr>
      <w:tr w:rsidR="00BB0B8D" w:rsidRPr="00BB0B8D" w:rsidTr="00BB42CA">
        <w:trPr>
          <w:trHeight w:val="279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14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Розроблення та прийняття “планів сталої міської мобільності” у громадах з урахуванням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інклюзивності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принципів сталої міської мобільності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врахування принципів безбар’єрності та сталої міської мобільності під час розроблення наукових рекомендацій щодо розроблення містобудівної документації на місцевому рівні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врахування розроблених Мінрегіоном наукових   рекомендацій щодо розроблення містобудівної документації на місцевому рівні з урахуванням принципів безбар’єрності та сталої міської мобільності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2021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містобудування та архітектури,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 (за згодою)</w:t>
            </w:r>
          </w:p>
        </w:tc>
      </w:tr>
      <w:tr w:rsidR="00BB0B8D" w:rsidRPr="00BB0B8D" w:rsidTr="00BB42CA">
        <w:trPr>
          <w:trHeight w:val="341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державних телерадіоорганізацій та акціонерного товариства “Національна суспільна телерадіокомпанія України” сучасним обладнанням для титрування, перекладу на українську жестову мову та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аудіодискрипції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тифлокоментування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аналізу наявного стану матеріально-технічної бази телерадіоорганізацій та визначення обсягу потреби в новому обладнанні для забезпечення титрування, перекладу на українську жестову мову та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аудіодискрипції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тифлокоментування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підготовлено звіт за результатами проведення аналізу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комунікацій</w:t>
            </w:r>
          </w:p>
        </w:tc>
      </w:tr>
      <w:tr w:rsidR="00BB0B8D" w:rsidRPr="005E500A" w:rsidTr="00BB42CA">
        <w:trPr>
          <w:trHeight w:val="496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16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Здійснення заходів щодо забезпечення можливості підключення та передачі звернень за екстреною медичною допомогою провайдерами неголосового виклику екстрених служб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здійснення заходів щодо забезпечення доступності виклику екстрених служб (112) та роботи телефонів довіри, «гарячих ліній» з урахуванням комунікаційних потреб та можливостей осіб з порушеннями слуху, зору, мовлення та осіб з порушенням інтелектуального розвитку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 екстрені служби (112), телефони довіри, гарячі лінії працюють з урахуванням комунікаційних потреб та можливостей осіб з порушеннями слуху, зору, мовлення та осіб з порушенням інтелектуального розвитку. Інтегровано в систему диспетчеризації екстреної медичної допомоги принаймні один провайдер неголосового виклику екстрених служб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року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Головне управління ДСНС України у Київській області, Департамент цивільного захисту, оборони та взаємодії з правоохоронними органами, департамент соціального захисту населення, департамент охорони здоров'я,  районні державні адміністрації, виконавчі комітети місцевих рад</w:t>
            </w:r>
          </w:p>
        </w:tc>
      </w:tr>
      <w:tr w:rsidR="00BB0B8D" w:rsidRPr="00BB0B8D" w:rsidTr="00BB42CA">
        <w:trPr>
          <w:trHeight w:val="248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Здійснення заходів щодо забезпечення можливості підключення та передачі звернень за екстреною медичною допомогою провайдерами неголосового виклику екстрених служб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здійснення заходів щодо забезпечення доступності неголосового виклику бригади екстреної медичної допомоги для осіб з порушеннями слуху, мовлення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реалізовано можливість неголосового виклику екстреної медичної допомоги на всій території України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охорони здоров'я, Департамент економіки та цифровізації, районні державні адміністрації</w:t>
            </w:r>
          </w:p>
        </w:tc>
      </w:tr>
      <w:tr w:rsidR="00BB0B8D" w:rsidRPr="00BB0B8D" w:rsidTr="00BB42CA">
        <w:trPr>
          <w:trHeight w:val="1755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підключення закладів соціальної інфраструктури та органів місцевого самоврядування до широкосмугового доступу до Інтернету із швидкістю не менше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100 Мбіт/с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забезпечення підключення закладів соціальної інфраструктури до фіксованого широкосмугового доступу до Інтернету із швидкістю не менше 100 Мбіт/с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забезпечено підключення не менше ніж 90 % закладів соціальної інфраструктури до фіксованого широкосмугового доступу до Інтернету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освіти і науки,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Депаратмент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охорони здоров'я, Управління культури, Департамент житлово-комунального господарства,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Депаратмент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економіки та цифровізації, Управління пасажирських перевезень, органи місцевого самоврядування (за згодою)</w:t>
            </w:r>
          </w:p>
        </w:tc>
      </w:tr>
      <w:tr w:rsidR="00BB0B8D" w:rsidRPr="00BB0B8D" w:rsidTr="00BB42CA">
        <w:trPr>
          <w:trHeight w:val="279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2) забезпечення підключення закладів культури та освіти сфери культури до широкосмугового доступу до Інтернету із швидкістю не менше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100 Мбіт/с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збільшено частку забезпечення доступом до Інтернету із швидкістю не менше 100 Мбіт/с для 60 відсотків бібліотек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 Управління культури, Департамент економіки та цифровізації, органи місцевого самоврядування (за згодою)</w:t>
            </w:r>
          </w:p>
        </w:tc>
      </w:tr>
      <w:tr w:rsidR="00BB0B8D" w:rsidRPr="00BB0B8D" w:rsidTr="00BB42CA">
        <w:trPr>
          <w:trHeight w:val="310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необхідним програмним забезпеченням та засобами доступу до Інтернету осіб з інвалідністю, закладів освіти та культури, а також бібліотек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хабів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межах населених пунктів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осіб з інвалідністю, бібліотек необхідним програмним забезпеченням та засобами доступу до Інтернету 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менше однієї публічної бібліотеки в адміністративному центрі кожної територіальної громади має власний веб-сайт або сторінку в соціальних мережах, які адаптовані до доступу для осіб з інвалідністю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культури, райдержадміністрації, органи місцевого самоврядування (за згодою)</w:t>
            </w:r>
          </w:p>
        </w:tc>
      </w:tr>
      <w:tr w:rsidR="00BB0B8D" w:rsidRPr="00BB0B8D" w:rsidTr="00BB42CA">
        <w:trPr>
          <w:trHeight w:val="321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20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Впровадження найкращих практик і механізмів залучення осіб з інвалідністю, молоді, осіб похилого віку, батьків з дітьми дошкільного віку до культурного життя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всеукраїнської культурно-мистецької акції, спрямованої на підтримку та розвиток творчих здібностей осіб з інвалідністю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залучені учасники (особи з інвалідністю) до участі у всеукраїнській культурно-мистецькій акції, спрямованій на підтримку та розвиток творчих здібностей осіб з інвалідністю 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культури, райдержадміністрації, органи місцевого самоврядування (за згодою)</w:t>
            </w:r>
          </w:p>
        </w:tc>
      </w:tr>
      <w:tr w:rsidR="00BB0B8D" w:rsidRPr="00BB0B8D" w:rsidTr="00BB42CA">
        <w:trPr>
          <w:trHeight w:val="434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Розвиток у системі освіти наскрізного принципу врахування соціальної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залученості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недискримінації та поваги до прав людини,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партиципації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згуртованості, у тому числі формальній та неформальній освіті, зокрема громадянській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проведення освітніх заходів у закладах освіти з метою подолання психологічних бар’єрів відповідно до положень Конвенції про права осіб з інвалідністю та за методичного супроводу МОН впровадження інклюзивних рішень та рівноцінного сприйняття осіб з інвалідністю у всіх колективах та всіма верствами населення 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забезпечено проведення регулярних заходів 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органи місцевого самоврядування  (за згодою)</w:t>
            </w:r>
          </w:p>
        </w:tc>
      </w:tr>
      <w:tr w:rsidR="00BB0B8D" w:rsidRPr="005E500A" w:rsidTr="00BB42CA">
        <w:trPr>
          <w:trHeight w:val="3600"/>
        </w:trPr>
        <w:tc>
          <w:tcPr>
            <w:tcW w:w="660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22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інформаційної кампанії</w:t>
            </w:r>
          </w:p>
        </w:tc>
        <w:tc>
          <w:tcPr>
            <w:tcW w:w="311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організації та проведення інформаційно-просвітницької кампанії “Україна без бар’єрів”</w:t>
            </w:r>
          </w:p>
        </w:tc>
        <w:tc>
          <w:tcPr>
            <w:tcW w:w="2835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проведено інформаційно-просвітницьку кампанію</w:t>
            </w:r>
          </w:p>
        </w:tc>
        <w:tc>
          <w:tcPr>
            <w:tcW w:w="1617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623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комунікацій та інші структурні підрозділи Київської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облдержадмінінстрації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 (за згодою) та громадські організації (за згодою)</w:t>
            </w:r>
          </w:p>
        </w:tc>
      </w:tr>
      <w:tr w:rsidR="00BB0B8D" w:rsidRPr="005E500A" w:rsidTr="00BB42CA">
        <w:trPr>
          <w:trHeight w:val="3600"/>
        </w:trPr>
        <w:tc>
          <w:tcPr>
            <w:tcW w:w="660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Підвищення рівня обізнаності державних службовців та посадових осіб місцевого самоврядування щодо прав осіб з інвалідністю, універсального дизайну і доступності</w:t>
            </w:r>
          </w:p>
        </w:tc>
        <w:tc>
          <w:tcPr>
            <w:tcW w:w="3119" w:type="dxa"/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забезпечення проведення навчання державних службовців та посадових осіб місцевого самоврядування за програмами підвищення кваліфікації із вивчення положень Конвенції про права осіб з інвалідністю, універсального дизайну і доступності</w:t>
            </w:r>
          </w:p>
        </w:tc>
        <w:tc>
          <w:tcPr>
            <w:tcW w:w="2835" w:type="dxa"/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підвищено кваліфікацію державних службовців та посадових осіб місцевого самоврядування</w:t>
            </w:r>
          </w:p>
        </w:tc>
        <w:tc>
          <w:tcPr>
            <w:tcW w:w="1617" w:type="dxa"/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постійно</w:t>
            </w:r>
          </w:p>
        </w:tc>
        <w:tc>
          <w:tcPr>
            <w:tcW w:w="2623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Регіональний центр підвищення кваліфікації, структурні підрозділи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Київсткої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обласної державної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райдержадміінстрації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</w:t>
            </w:r>
          </w:p>
        </w:tc>
      </w:tr>
      <w:tr w:rsidR="00BB0B8D" w:rsidRPr="005E500A" w:rsidTr="00BB42CA">
        <w:trPr>
          <w:trHeight w:val="417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24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широких інформаційно-просвітницьких кампаній для працівників державних та комунальних установ, організацій, професійних спільнот та громадськості на всіх рівнях щодо політики безбар’єрності та недискримінації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циклів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вебінарів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працівників державних та комунальних закладів культури та закладів освіти сфери культури щодо політики безбар’єрності та недискримінації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проведено цикл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вебінарів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працівників державних та комунальних закладів культури та закладів освіти сфери культури щодо політики безбар’єрності та недискримінації; залучено 30 працівників державних та комунальних закладів культури та закладів освіти сфери культури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культури, Регіональний центр підвищення кваліфікації, райдержадміністрації, громадські організації (за згодою)</w:t>
            </w:r>
          </w:p>
        </w:tc>
      </w:tr>
      <w:tr w:rsidR="00BB0B8D" w:rsidRPr="00BB0B8D" w:rsidTr="00BB42CA">
        <w:trPr>
          <w:trHeight w:val="417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Запровадження комплексних реабілітаційних та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абілітаційних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послуг, спрямованих на підвищення якості життя, активності, працездатності та залучення в усі форми суспільного життя (переоцінка діючих системи та стандартів реабілітації, імплементація комплексних західних підходів у співпраці з МОЗ)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забезпечення максимального наближення комплексних реабілітаційних (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абілітаційних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послуг до осіб, які їх потребують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збільшено чисельність отримувачів послуг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соціального захисту населення, райдержадміністрації, органи місцевого самоврядування (за згодою)</w:t>
            </w:r>
          </w:p>
        </w:tc>
      </w:tr>
      <w:tr w:rsidR="00BB0B8D" w:rsidRPr="00BB0B8D" w:rsidTr="00BB42CA">
        <w:trPr>
          <w:trHeight w:val="231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2)забезпечення надання особам з порушеннями слуху соціальної послуги перекладу на жестову мову 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запроваджено відповідні соціальні послуги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соціального захисту населення, райдержадміністрації, органи місцевого самоврядування (за згодою)</w:t>
            </w:r>
          </w:p>
        </w:tc>
      </w:tr>
      <w:tr w:rsidR="00BB0B8D" w:rsidRPr="005E500A" w:rsidTr="00BB42CA">
        <w:trPr>
          <w:trHeight w:val="483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Впровадження концепцій та механізму безбар’єрності в державну систему охорони здоров’я та навчання медичних працівників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роботи серед працівників системи охорони здоров’я, які здійснюють прийом громадян, щодо культури та особливості спілкування з особами з порушеннями слуху та застосування онлайн-додатків безкоштовного перекладу на українську жестову мову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проведено широку просвітницьку кампанію щодо популяризації у суспільстві культури створення безбар’єрного простору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охорони здоров’я Київської обласної державної адміністрації, районні державні адміністрації, органи місцевого самоврядування (за згодою), громадські організації (за згодою), професійні спілки, асоціації (за згодою)</w:t>
            </w:r>
          </w:p>
        </w:tc>
      </w:tr>
      <w:tr w:rsidR="00BB0B8D" w:rsidRPr="005E500A" w:rsidTr="00BB42CA">
        <w:trPr>
          <w:trHeight w:val="468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27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Запровадження комплексних реабілітаційних та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абілітаційних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послуг, спрямованих на підвищення якості життя, активності, працездатності та залучення в усі форми суспільного життя (переоцінка діючих системи та стандартів реабілітації, імплементація комплексних західних підходів у співпраці з МОЗ)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1)здійснення розвитку системи фізкультурно-спортивної реабілітації серед ветеранів війни та визначення державного стандарту надання послуг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забезпечено реалізацію Національної стратегії розвитку системи фізкультурно-спортивної реабілітації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молоді та спорту, Департамент охорони здоров’я  Київської обласної державної адміністрації; райдержадміністрації, органи місцевого самоврядування (за згодою)</w:t>
            </w:r>
          </w:p>
        </w:tc>
      </w:tr>
      <w:tr w:rsidR="00BB0B8D" w:rsidRPr="005E500A" w:rsidTr="00BB42CA">
        <w:trPr>
          <w:trHeight w:val="320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задоволення потреби постраждалих учасників Революції Гідності, ветеранів війни та членів сімей загиблих (померлих) таких осіб в послугах із психологічної реабілітації та санаторно-курортного лікування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збільшено кількість наданих послуг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охорони здоров’я  Київської обласної державної адміністрації; райдержадміністрації, органи місцевого самоврядування (за згодою)</w:t>
            </w:r>
          </w:p>
        </w:tc>
      </w:tr>
      <w:tr w:rsidR="00BB0B8D" w:rsidRPr="005E500A" w:rsidTr="00BB42CA">
        <w:trPr>
          <w:trHeight w:val="2470"/>
        </w:trPr>
        <w:tc>
          <w:tcPr>
            <w:tcW w:w="660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30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3) залучення жінок-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ветеранок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війни до спортивної активності та участі у національних та міжнародних спортивних змаганнях серед ветеранів війни</w:t>
            </w:r>
          </w:p>
        </w:tc>
        <w:tc>
          <w:tcPr>
            <w:tcW w:w="2835" w:type="dxa"/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збільшено кількість жінок-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ветеранок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які взяли участь у національних та міжнародних спортивних заходах</w:t>
            </w:r>
          </w:p>
        </w:tc>
        <w:tc>
          <w:tcPr>
            <w:tcW w:w="1617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молоді та спорту  Київської обласної державної адміністрації; райдержадміністрації, органи місцевого самоврядування (за згодою)</w:t>
            </w:r>
          </w:p>
        </w:tc>
      </w:tr>
      <w:tr w:rsidR="00BB0B8D" w:rsidRPr="00BB0B8D" w:rsidTr="00BB42CA">
        <w:trPr>
          <w:trHeight w:val="468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4) забезпечення належної організації роботи реабілітаційних закладів для осіб з інвалідністю та дітей з інвалідністю 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покращено механізм надання особам з інвалідністю, дітям з інвалідністю реабілітаційних послуг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соціального захисту населення, Департамент охорони здоров’я Київської обласної державної адміністрації,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райдержадмінінстрації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 (за згодою)</w:t>
            </w:r>
          </w:p>
        </w:tc>
      </w:tr>
      <w:tr w:rsidR="00BB0B8D" w:rsidRPr="005E500A" w:rsidTr="00BB42CA">
        <w:trPr>
          <w:trHeight w:val="4340"/>
        </w:trPr>
        <w:tc>
          <w:tcPr>
            <w:tcW w:w="660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28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на рівні кожної територіальної громади якісно нової системи забезпечення та захисту прав дітей, що дасть змогу відійти від практики інституційного догляду та виховання дітей до забезпечення безпечного догляду і виховання кожної дитини в сімейному або наближеному до сімейного середовищі</w:t>
            </w:r>
          </w:p>
        </w:tc>
        <w:tc>
          <w:tcPr>
            <w:tcW w:w="311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створення в територіальних громадах служб у справах дітей, надання службам у справах дітей територіальних громад методичної та організаційної підтримки у провадженні діяльності щодо захисту прав та інтересів дітей</w:t>
            </w:r>
          </w:p>
        </w:tc>
        <w:tc>
          <w:tcPr>
            <w:tcW w:w="2835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створено служби у справах дітей в усіх територіальних громадах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збільшено кількість патронатних сімей у територіальних громадах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забезпечено розвиток сімейних форм виховання</w:t>
            </w:r>
          </w:p>
        </w:tc>
        <w:tc>
          <w:tcPr>
            <w:tcW w:w="1617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та сім'ї Київської облдержадміністрації, органи місцевого самоврядування (за згодою)</w:t>
            </w:r>
          </w:p>
        </w:tc>
      </w:tr>
      <w:tr w:rsidR="00BB0B8D" w:rsidRPr="005E500A" w:rsidTr="00BB42CA">
        <w:trPr>
          <w:trHeight w:val="4035"/>
        </w:trPr>
        <w:tc>
          <w:tcPr>
            <w:tcW w:w="660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30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забезпечення розвитку сімейних форм виховання, проведення із залученням регіональних та місцевих засобів масової інформації інформаційної кампанії з питань влаштування дітей до сімейних форм виховання</w:t>
            </w:r>
          </w:p>
        </w:tc>
        <w:tc>
          <w:tcPr>
            <w:tcW w:w="2835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збільшено на 0,2 відсотка влаштування дітей-сиріт та дітей, позбавлених батьківського піклування, до сімейних форм виховання </w:t>
            </w:r>
          </w:p>
        </w:tc>
        <w:tc>
          <w:tcPr>
            <w:tcW w:w="1617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та сім'ї Київської облдержадміністрації, органи місцевого самоврядування (за згодою)</w:t>
            </w:r>
          </w:p>
        </w:tc>
      </w:tr>
      <w:tr w:rsidR="00BB0B8D" w:rsidRPr="00BB0B8D" w:rsidTr="00BB42CA">
        <w:trPr>
          <w:trHeight w:val="268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29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Створення умов для підвищення прозорості і доступності системи соціального захисту, забезпечення об’єктивного (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недискримінуючого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), ефективного і цільового розподілу гарантій і пільг</w:t>
            </w:r>
          </w:p>
        </w:tc>
        <w:tc>
          <w:tcPr>
            <w:tcW w:w="3119" w:type="dxa"/>
            <w:tcBorders>
              <w:top w:val="nil"/>
            </w:tcBorders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розроблення проекту розпорядження Кабінету Міністрів України “Про затвердження плану заходів з реалізації Стратегії державної політики з питань здорового та активного довголіття населення на період до 2027 року”</w:t>
            </w:r>
          </w:p>
        </w:tc>
        <w:tc>
          <w:tcPr>
            <w:tcW w:w="2835" w:type="dxa"/>
            <w:tcBorders>
              <w:top w:val="nil"/>
            </w:tcBorders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надано пропозиції до проекту розпорядження Кабінету Міністрів України</w:t>
            </w:r>
          </w:p>
        </w:tc>
        <w:tc>
          <w:tcPr>
            <w:tcW w:w="1617" w:type="dxa"/>
            <w:tcBorders>
              <w:top w:val="nil"/>
            </w:tcBorders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соціального захисту населення</w:t>
            </w:r>
          </w:p>
        </w:tc>
      </w:tr>
      <w:tr w:rsidR="00BB0B8D" w:rsidRPr="00BB0B8D" w:rsidTr="00BB42CA">
        <w:trPr>
          <w:trHeight w:val="1965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функціонування закладів фізичної культури та спорту для всіх верств населення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заходів з фізичної культури і спорту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 та фізкультурно-спортивної реабілітації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збільшено кількість фізкультурно-оздоровчих та спортивних заходів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молоді і спорту, райдержадміністрації,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органи місцевого самоврядування (за згодою)</w:t>
            </w:r>
          </w:p>
        </w:tc>
      </w:tr>
      <w:tr w:rsidR="00BB0B8D" w:rsidRPr="00BB0B8D" w:rsidTr="00BB42CA">
        <w:trPr>
          <w:trHeight w:val="256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Систематизація процесів надання послуг, популяризація центрів надання освітніх послуг та забезпечення створення умов для фінансування за форматом “гроші ходять за людиною”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визначення основних напрямів надання освітніх послуг для дорослих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визначено основні напрями надання освітніх послуг для дорослих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органи місцевого самоврядування  (за згодою)</w:t>
            </w:r>
          </w:p>
        </w:tc>
      </w:tr>
      <w:tr w:rsidR="00BB0B8D" w:rsidRPr="00BB0B8D" w:rsidTr="00BB42CA">
        <w:trPr>
          <w:trHeight w:val="155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розроблення механізму фінансування освітніх послуг для дорослих за принципом “гроші ходять за людиною”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надсилання пропозицій та погодження проекту нормативно-правового акту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ІІ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фінансів, департамент освіти і науки, юридичний департамент</w:t>
            </w:r>
          </w:p>
        </w:tc>
      </w:tr>
      <w:tr w:rsidR="00BB0B8D" w:rsidRPr="00BB0B8D" w:rsidTr="00BB42CA">
        <w:trPr>
          <w:trHeight w:val="124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32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Прийняття та впровадження Закону України “Про освіту дорослих”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реалізація Закону України “Про освіту дорослих”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надано пропозиції до відповідних підзаконні нормативно-правові акти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та науки України</w:t>
            </w:r>
          </w:p>
        </w:tc>
      </w:tr>
      <w:tr w:rsidR="00BB0B8D" w:rsidRPr="00BB0B8D" w:rsidTr="00BB42CA">
        <w:trPr>
          <w:trHeight w:val="248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закладів дошкільної освіти методичними, діагностичними та матеріально-технічним засобами для створення та функціонування інклюзивного середовища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здійснення підвищення кваліфікації працівників інклюзивно-ресурсних центрів щодо роботи з діагностичними засобами для дітей дошкільного віку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підвищено фахівцями інклюзивно-ресурсних центрів кваліфікацію з питань роботи з діагностичними засобами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департамент соціального захисту населення</w:t>
            </w:r>
          </w:p>
        </w:tc>
      </w:tr>
      <w:tr w:rsidR="00BB0B8D" w:rsidRPr="00BB0B8D" w:rsidTr="00BB42CA">
        <w:trPr>
          <w:trHeight w:val="248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забезпечення закладів дошкільної освіти матеріально-технічним засобами для створення та функціонування інклюзивного середовища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оновлено матеріально-технічні засоби для створення та функціонування інклюзивного середовища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25 відсотків закладів дошкільної освіти 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Департамент соціального захисту населення, органи місцевого самоврядування (засновники закладів освіти за згодою)</w:t>
            </w:r>
          </w:p>
        </w:tc>
      </w:tr>
      <w:tr w:rsidR="00BB0B8D" w:rsidRPr="00BB0B8D" w:rsidTr="00BB42CA">
        <w:trPr>
          <w:trHeight w:val="3975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34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підвищення рівня якості надання освітніх послуг у спеціальних закладах загальної середньої освіти або спеціальних класах (групах) закладів освіти із створенням умов для здобуття учнями (вихованцями) з особливими освітніми потребами освіти в освітньому середовищі, наближеному до місця їх проживання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підвищення рівня фахової компетентності керівників закладів спеціальної освіти 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проведено семінари щодо впровадження нових Положення про навчально-реабілітаційні центри та Положення про спеціальну школу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2021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Регіональний центр підвищення кваліфікації,  органи місцевого самоврядування (за згодою)</w:t>
            </w:r>
          </w:p>
        </w:tc>
      </w:tr>
      <w:tr w:rsidR="00BB0B8D" w:rsidRPr="005E500A" w:rsidTr="00BB42CA">
        <w:trPr>
          <w:trHeight w:val="4905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умов громадського сектору для організації навчання, яке не забезпечується інституційною освітою, шляхом популяризації, проведення конкурсів та форумів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здійснення щорічного оголошення конкурсів для громадського сектору з метою організації проведення конкурсів та форумів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оголошено відповідні конкурси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комунікацій та інші структурні підрозділи Київської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облдержадмінінстрації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 (за згодою) та громадські організації (за згодою)</w:t>
            </w:r>
          </w:p>
        </w:tc>
      </w:tr>
      <w:tr w:rsidR="00BB0B8D" w:rsidRPr="00BB0B8D" w:rsidTr="00BB42CA">
        <w:trPr>
          <w:trHeight w:val="279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36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та забезпечення освітніх можливостей для освітніх управлінців щодо питань освітньої безбар’єрності та рішень, які управлінці повинні прийняти на місцях у межах своїх повноважень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тренінгів для співробітників із залученням фахових експертів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розроблено та затверджено інструкції для співробітників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Регіональний центр підвищення кваліфікації,  органи місцевого самоврядування (за згодою)</w:t>
            </w:r>
          </w:p>
        </w:tc>
      </w:tr>
      <w:tr w:rsidR="00BB0B8D" w:rsidRPr="00BB0B8D" w:rsidTr="00BB42CA">
        <w:trPr>
          <w:trHeight w:val="2480"/>
        </w:trPr>
        <w:tc>
          <w:tcPr>
            <w:tcW w:w="660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Розвиток мережі та підтримка інклюзивно-ресурсних центрів відповідно до існуючих нормативів</w:t>
            </w:r>
          </w:p>
        </w:tc>
        <w:tc>
          <w:tcPr>
            <w:tcW w:w="311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 забезпечення функціонування мережі інклюзивно-ресурсних центрів відповідно до існуючих нормативів </w:t>
            </w:r>
          </w:p>
        </w:tc>
        <w:tc>
          <w:tcPr>
            <w:tcW w:w="2835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збільшено кількість інклюзивно-ресурсних центрів відповідно до потреби у великих містах, збережено діючу мережу інклюзивно-ресурсних центрів у громадах та сільській місцевості</w:t>
            </w:r>
          </w:p>
        </w:tc>
        <w:tc>
          <w:tcPr>
            <w:tcW w:w="1617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IV квартал 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2022 р.</w:t>
            </w:r>
          </w:p>
        </w:tc>
        <w:tc>
          <w:tcPr>
            <w:tcW w:w="2623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департамент соціального захисту населення, органи місцевого самоврядування (за згодою)</w:t>
            </w:r>
          </w:p>
        </w:tc>
      </w:tr>
      <w:tr w:rsidR="00BB0B8D" w:rsidRPr="00BB0B8D" w:rsidTr="00BB42CA">
        <w:trPr>
          <w:trHeight w:val="270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забезпечення підвищення кваліфікації фахівців інклюзивно-ресурсних центрів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підвищено кваліфікацію фахівців інклюзивно-ресурсних центрів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Регіональний центр підвищення кваліфікації</w:t>
            </w:r>
          </w:p>
        </w:tc>
      </w:tr>
      <w:tr w:rsidR="00BB0B8D" w:rsidRPr="00BB0B8D" w:rsidTr="00BB42CA">
        <w:trPr>
          <w:trHeight w:val="124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 забезпечення підвищення кваліфікації керівників інклюзивно-ресурсних центрів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підвищено кваліфікацію керівників інклюзивно-ресурсних центрів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Регіональний центр підвищення кваліфікації</w:t>
            </w:r>
          </w:p>
        </w:tc>
      </w:tr>
      <w:tr w:rsidR="00BB0B8D" w:rsidRPr="00BB0B8D" w:rsidTr="00BB42CA">
        <w:trPr>
          <w:trHeight w:val="310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38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умов для організації національного та міжнародного обміну досвідом для фахівців освіти всіх рівнів, фахівців інклюзивно-ресурсних центрів, батьківських спільнот та профільних громадських об’єднань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налагодження контактів з профільними міжнародними агенціями та громадськими організаціями, що опікуються питаннями освіти осіб з особливими освітніми потребами 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підписано меморандуми про співпрацю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управління комунікацій, громадські організації (за згодою)</w:t>
            </w:r>
          </w:p>
        </w:tc>
      </w:tr>
      <w:tr w:rsidR="00BB0B8D" w:rsidRPr="00BB0B8D" w:rsidTr="00BB42CA">
        <w:trPr>
          <w:trHeight w:val="279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підвищення мотивації до навчання фахівців за професіями “асистент вчителя”, “асистент учня”, зокрема створення умов для навчання батьків дітей з особливими освітніми потребами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умов для працевлаштування батьків, інших представників осіб з особливими освітніми потребами для надання соціальної послуги із супроводження під час інклюзивного навчання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забезпечено надання соціальної послуги із супроводження під час інклюзивного навчання, створено умови для працевлаштування батьків дітей з особливими освітніми потребами для надання такої послуги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освіти і науки, Департамент соціального захисту населення, департамент охорони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здоровя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 (за згодою)</w:t>
            </w:r>
          </w:p>
        </w:tc>
      </w:tr>
      <w:tr w:rsidR="00BB0B8D" w:rsidRPr="00BB0B8D" w:rsidTr="00BB42CA">
        <w:trPr>
          <w:trHeight w:val="217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харчової безбар’єрності в усіх закладах освіти шляхом запровадження моніторингу харчових потреб та популяризації здорового харчування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участь у розробленні та супроводженні комунікаційної платформи “Реформа харчування від А до Я”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забезпечено функціонування платформи “Реформа харчування від А до Я”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2021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департамент комунікацій, органи місцевого самоврядування (за згодою)</w:t>
            </w:r>
          </w:p>
        </w:tc>
      </w:tr>
      <w:tr w:rsidR="00BB0B8D" w:rsidRPr="00BB0B8D" w:rsidTr="00BB42CA">
        <w:trPr>
          <w:trHeight w:val="310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забезпечення закладів освіти сучасним обладнанням для харчоблоків у рамках субвенції з державного бюджету місцевим бюджетам на реалізацію програми “Спроможна школа для кращих результатів”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оновлено матеріально-технічну базу закладів освіти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Департамент регіонального розвитку, органи місцевого самоврядування (за згодою)</w:t>
            </w:r>
          </w:p>
        </w:tc>
      </w:tr>
      <w:tr w:rsidR="00BB0B8D" w:rsidRPr="00BB0B8D" w:rsidTr="00BB42CA">
        <w:trPr>
          <w:trHeight w:val="186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доступності всієї інфраструктури освітніх середовищ (гуртожитки, центри дозвілля, бібліотеки, архіви, актові зали тощо)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здійснення навчання представників управлінських структур на місцевому рівні щодо доступності інфраструктури освітнього середовища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проведено навчання представників управлінських структур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Регіональний центр підвищення кваліфікації</w:t>
            </w:r>
          </w:p>
        </w:tc>
      </w:tr>
      <w:tr w:rsidR="00BB0B8D" w:rsidRPr="00BB0B8D" w:rsidTr="00BB42CA">
        <w:trPr>
          <w:trHeight w:val="328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Розроблення та впровадження державної системи раннього втручання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 розроблення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спеціфикації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послуги з раннього втручання; прийняти участь у розробленні проекту розпорядження Кабінету Міністрів України “Про затвердження плану заходів щодо реалізації Концепції створення та розвитку системи раннього втручання 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Подано відповідні пропозиції до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Мінсоцполітики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III квартал 2021 р.         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соціального захисту населення</w:t>
            </w:r>
          </w:p>
        </w:tc>
      </w:tr>
      <w:tr w:rsidR="00BB0B8D" w:rsidRPr="00BB0B8D" w:rsidTr="00BB42CA">
        <w:trPr>
          <w:trHeight w:val="208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утворення центрів раннього втручання на базі діючої мережі закладів освіти з урахуванням потреб та фінансових можливостей відповідної адміністративно-територіальної одиниці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утворено центри раннього втручання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і науки, органи місцевого самоврядування (за згодою)</w:t>
            </w:r>
          </w:p>
        </w:tc>
      </w:tr>
      <w:tr w:rsidR="00BB0B8D" w:rsidRPr="00BB0B8D" w:rsidTr="00BB42CA">
        <w:trPr>
          <w:trHeight w:val="396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Проведення просвітницької кампанії, спрямованої на боротьбу з гендерними стереотипами, расизмом у спорті, насильством у спорті та дискримінацією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груп населення</w:t>
            </w:r>
          </w:p>
        </w:tc>
        <w:tc>
          <w:tcPr>
            <w:tcW w:w="3119" w:type="dxa"/>
            <w:tcBorders>
              <w:top w:val="nil"/>
            </w:tcBorders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організація роботи, спрямованої на боротьбу з гендерними стереотипами, расизмом у спорті, насильством у спорті та дискримінацією стосовно будь-якої особи за ознакою інвалідністю,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груп населення</w:t>
            </w:r>
          </w:p>
        </w:tc>
        <w:tc>
          <w:tcPr>
            <w:tcW w:w="2835" w:type="dxa"/>
            <w:tcBorders>
              <w:top w:val="nil"/>
            </w:tcBorders>
            <w:shd w:val="clear" w:color="000000" w:fill="FFFFFF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проведено просвітницькі заходи, спрямовані на формування гуманного світогляду та дотримання принципу рівності у спорті та недопущення дискримінації стосовно будь-якої особи за ознакою інвалідністю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2021 р.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соціального захистку населення, Управління молоді і спорту,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</w:p>
        </w:tc>
      </w:tr>
      <w:tr w:rsidR="00BB0B8D" w:rsidRPr="005E500A" w:rsidTr="00BB42CA">
        <w:trPr>
          <w:trHeight w:val="2790"/>
        </w:trPr>
        <w:tc>
          <w:tcPr>
            <w:tcW w:w="660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Розвиток інституту інвестиційного супроводу та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менторства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існуючих підприємств, власниками та засновниками яких є цільові групи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розвитку та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інституціоналізації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мережі центрів підтримки підприємців за участю органів місцевого самоврядування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створено інфраструктуру підтримки підприємництва для забезпечення супроводу та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менторства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існуючих підприємств, власниками та засновниками яких є цільові групи</w:t>
            </w:r>
          </w:p>
        </w:tc>
        <w:tc>
          <w:tcPr>
            <w:tcW w:w="1617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економіки і цифровізації,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</w:p>
        </w:tc>
      </w:tr>
      <w:tr w:rsidR="00BB0B8D" w:rsidRPr="005E500A" w:rsidTr="00BB42CA">
        <w:trPr>
          <w:trHeight w:val="5580"/>
        </w:trPr>
        <w:tc>
          <w:tcPr>
            <w:tcW w:w="660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45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програм супроводу для започаткування власної справи вразливими на ринку праці групами населення, зокрема через мережу державних бізнес-інкубаторів, бізнес-акселераторів та центрів зайнятості</w:t>
            </w:r>
          </w:p>
        </w:tc>
        <w:tc>
          <w:tcPr>
            <w:tcW w:w="3119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національної мережі з 24 дієздатних інноваційних бізнес-інкубаторів за стандартами Європейської мережі бізнес-центрів та інноваційних центрів для підтримки доступу до ринків ЄС, розвитку підприємницької екосистеми та складових інноваційної екосистеми (наукові парки), що забезпечить участь українських підприємців у міжнародних проектах, зокрема у програмах соціального венчурного інвестування</w:t>
            </w:r>
          </w:p>
        </w:tc>
        <w:tc>
          <w:tcPr>
            <w:tcW w:w="2835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створено національну мережу інноваційних бізнес-інкубаторів,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реалізовано на державному рівні менторські програми для переселенців, ветеранів війни та інших груп населення</w:t>
            </w: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залучено не типові для підприємництва категорії громадян до розвитку їх ідей та втілення у готові продукти</w:t>
            </w:r>
          </w:p>
        </w:tc>
        <w:tc>
          <w:tcPr>
            <w:tcW w:w="1617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2022 р.</w:t>
            </w:r>
            <w:bookmarkStart w:id="0" w:name="_GoBack"/>
            <w:bookmarkEnd w:id="0"/>
          </w:p>
        </w:tc>
        <w:tc>
          <w:tcPr>
            <w:tcW w:w="2623" w:type="dxa"/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Департамент економіки і цифровізації, районні державні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адмінінстрації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органи місцевого самоврядування (за згодою)</w:t>
            </w:r>
          </w:p>
        </w:tc>
      </w:tr>
      <w:tr w:rsidR="00BB0B8D" w:rsidRPr="005E500A" w:rsidTr="00BB42CA">
        <w:trPr>
          <w:trHeight w:val="3123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  <w:r w:rsidRPr="00BB42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умов для забезпечення рівних прав та можливостей осіб з інвалідністю та інших </w:t>
            </w:r>
            <w:proofErr w:type="spellStart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маломобільних</w:t>
            </w:r>
            <w:proofErr w:type="spellEnd"/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 населення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приведення нормативно-правових актів місцевих органів виконавчої влади, органів місцевого самоврядування у відповідність із положеннями Конвенції про права осіб з інвалідністю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нормативно-правових актах заміна термінів «інвалід», «дитина-інвалід» термінами «особа з інвалідністю», «дитина з інвалідністю», а також уніфікація цих термінів та визначень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IV квартал 2021 року</w:t>
            </w:r>
          </w:p>
        </w:tc>
        <w:tc>
          <w:tcPr>
            <w:tcW w:w="262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0B8D" w:rsidRPr="00BB0B8D" w:rsidRDefault="00BB0B8D" w:rsidP="00BB0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0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соціального захисту населення та інші структурні підрозділи Київської обласної державної адміністрації, районні державні адміністрації, виконавчі комітети місцевих рад</w:t>
            </w:r>
          </w:p>
        </w:tc>
      </w:tr>
    </w:tbl>
    <w:p w:rsidR="00BB0B8D" w:rsidRPr="00BB42CA" w:rsidRDefault="00BB0B8D">
      <w:pPr>
        <w:rPr>
          <w:lang w:val="uk-UA"/>
        </w:rPr>
      </w:pPr>
    </w:p>
    <w:sectPr w:rsidR="00BB0B8D" w:rsidRPr="00BB42CA" w:rsidSect="00BB0B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8D"/>
    <w:rsid w:val="00345A91"/>
    <w:rsid w:val="005E500A"/>
    <w:rsid w:val="00BB0B8D"/>
    <w:rsid w:val="00BB42CA"/>
    <w:rsid w:val="00E8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77E62-E5FD-4D92-849F-5800713AE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BB0B8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BB0B8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E5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5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9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26</Pages>
  <Words>21634</Words>
  <Characters>12332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Myroslava</dc:creator>
  <cp:keywords/>
  <dc:description/>
  <cp:lastModifiedBy>User</cp:lastModifiedBy>
  <cp:revision>3</cp:revision>
  <cp:lastPrinted>2021-09-29T07:45:00Z</cp:lastPrinted>
  <dcterms:created xsi:type="dcterms:W3CDTF">2021-09-28T21:03:00Z</dcterms:created>
  <dcterms:modified xsi:type="dcterms:W3CDTF">2021-09-29T07:45:00Z</dcterms:modified>
</cp:coreProperties>
</file>