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A4" w:rsidRPr="003A26A4" w:rsidRDefault="003A26A4" w:rsidP="003A26A4">
      <w:pPr>
        <w:spacing w:line="360" w:lineRule="auto"/>
        <w:ind w:left="5245"/>
        <w:jc w:val="both"/>
        <w:rPr>
          <w:rFonts w:ascii="Times New Roman" w:hAnsi="Times New Roman"/>
          <w:b/>
          <w:szCs w:val="28"/>
          <w:lang w:val="uk-UA"/>
        </w:rPr>
      </w:pPr>
      <w:r w:rsidRPr="003A26A4">
        <w:rPr>
          <w:rFonts w:ascii="Times New Roman" w:hAnsi="Times New Roman"/>
          <w:b/>
          <w:szCs w:val="28"/>
          <w:lang w:val="uk-UA"/>
        </w:rPr>
        <w:t>ЗАТВЕРДЖЕНО</w:t>
      </w:r>
    </w:p>
    <w:p w:rsidR="003A26A4" w:rsidRPr="003A26A4" w:rsidRDefault="003A26A4" w:rsidP="003A26A4">
      <w:pPr>
        <w:tabs>
          <w:tab w:val="left" w:pos="5400"/>
          <w:tab w:val="left" w:pos="6020"/>
        </w:tabs>
        <w:spacing w:line="360" w:lineRule="auto"/>
        <w:ind w:left="5245"/>
        <w:jc w:val="both"/>
        <w:rPr>
          <w:rFonts w:ascii="Times New Roman" w:hAnsi="Times New Roman"/>
          <w:b/>
          <w:szCs w:val="28"/>
          <w:lang w:val="uk-UA"/>
        </w:rPr>
      </w:pPr>
      <w:r w:rsidRPr="003A26A4">
        <w:rPr>
          <w:rFonts w:ascii="Times New Roman" w:hAnsi="Times New Roman"/>
          <w:b/>
          <w:szCs w:val="28"/>
          <w:lang w:val="uk-UA"/>
        </w:rPr>
        <w:t xml:space="preserve">Розпорядження голови Київської обласної державної адміністрації </w:t>
      </w:r>
    </w:p>
    <w:p w:rsidR="003A26A4" w:rsidRDefault="00C84A40" w:rsidP="003A26A4">
      <w:pPr>
        <w:tabs>
          <w:tab w:val="left" w:pos="5400"/>
          <w:tab w:val="left" w:pos="6020"/>
        </w:tabs>
        <w:spacing w:line="360" w:lineRule="auto"/>
        <w:ind w:left="5245"/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від 17 травня 2021 року  № 294</w:t>
      </w:r>
    </w:p>
    <w:p w:rsidR="00E30CE3" w:rsidRPr="003A26A4" w:rsidRDefault="00E30CE3" w:rsidP="003A26A4">
      <w:pPr>
        <w:tabs>
          <w:tab w:val="left" w:pos="5400"/>
          <w:tab w:val="left" w:pos="6020"/>
        </w:tabs>
        <w:spacing w:line="360" w:lineRule="auto"/>
        <w:ind w:left="5245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60" w:lineRule="auto"/>
        <w:ind w:left="5245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b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center"/>
        <w:rPr>
          <w:rFonts w:ascii="Times New Roman" w:hAnsi="Times New Roman"/>
          <w:b/>
          <w:szCs w:val="28"/>
          <w:lang w:val="uk-UA"/>
        </w:rPr>
      </w:pPr>
      <w:r w:rsidRPr="003A26A4">
        <w:rPr>
          <w:rFonts w:ascii="Times New Roman" w:hAnsi="Times New Roman"/>
          <w:b/>
          <w:szCs w:val="28"/>
          <w:lang w:val="uk-UA"/>
        </w:rPr>
        <w:t>ПОЛОЖЕННЯ</w:t>
      </w:r>
    </w:p>
    <w:p w:rsidR="003A26A4" w:rsidRPr="003A26A4" w:rsidRDefault="009106E9" w:rsidP="003A26A4">
      <w:pPr>
        <w:spacing w:line="320" w:lineRule="exact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ПРО</w:t>
      </w:r>
      <w:r w:rsidR="003A26A4" w:rsidRPr="003A26A4">
        <w:rPr>
          <w:rFonts w:ascii="Times New Roman" w:hAnsi="Times New Roman"/>
          <w:b/>
          <w:szCs w:val="28"/>
          <w:lang w:val="uk-UA"/>
        </w:rPr>
        <w:t xml:space="preserve"> </w:t>
      </w:r>
      <w:r w:rsidR="003A26A4" w:rsidRPr="003A26A4">
        <w:rPr>
          <w:rFonts w:ascii="Times New Roman" w:hAnsi="Times New Roman"/>
          <w:b/>
          <w:bCs/>
          <w:szCs w:val="28"/>
          <w:lang w:val="ru-RU"/>
        </w:rPr>
        <w:t>К</w:t>
      </w:r>
      <w:r w:rsidR="003A26A4" w:rsidRPr="003A26A4">
        <w:rPr>
          <w:rFonts w:ascii="Times New Roman" w:hAnsi="Times New Roman"/>
          <w:b/>
          <w:bCs/>
          <w:szCs w:val="28"/>
          <w:lang w:val="uk-UA"/>
        </w:rPr>
        <w:t xml:space="preserve">ИЇВСЬКИЙ ОБЛАСНИЙ </w:t>
      </w:r>
      <w:r w:rsidR="003A26A4" w:rsidRPr="003A26A4">
        <w:rPr>
          <w:rFonts w:ascii="Times New Roman" w:hAnsi="Times New Roman"/>
          <w:b/>
          <w:bCs/>
          <w:szCs w:val="28"/>
          <w:lang w:val="ru-RU"/>
        </w:rPr>
        <w:t>ЦЕНТР СОЦІАЛЬНИХ СЛУЖБ</w:t>
      </w: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center"/>
        <w:rPr>
          <w:rFonts w:ascii="Times New Roman" w:hAnsi="Times New Roman"/>
          <w:b/>
          <w:szCs w:val="28"/>
          <w:lang w:val="uk-UA"/>
        </w:rPr>
      </w:pPr>
      <w:r w:rsidRPr="003A26A4">
        <w:rPr>
          <w:rFonts w:ascii="Times New Roman" w:hAnsi="Times New Roman"/>
          <w:b/>
          <w:szCs w:val="28"/>
          <w:lang w:val="uk-UA"/>
        </w:rPr>
        <w:t>(ідентифікаційний код юридичної особи 19259491)</w:t>
      </w: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Pr="003A26A4" w:rsidRDefault="003A26A4" w:rsidP="003A26A4">
      <w:pPr>
        <w:spacing w:line="320" w:lineRule="exact"/>
        <w:jc w:val="both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</w:p>
    <w:p w:rsidR="003A26A4" w:rsidRDefault="003A26A4" w:rsidP="003A26A4">
      <w:pPr>
        <w:spacing w:line="320" w:lineRule="exact"/>
        <w:jc w:val="center"/>
        <w:rPr>
          <w:rFonts w:ascii="Times New Roman" w:hAnsi="Times New Roman"/>
          <w:szCs w:val="28"/>
          <w:lang w:val="uk-UA"/>
        </w:rPr>
      </w:pPr>
      <w:r w:rsidRPr="003A26A4">
        <w:rPr>
          <w:rFonts w:ascii="Times New Roman" w:hAnsi="Times New Roman"/>
          <w:szCs w:val="28"/>
          <w:lang w:val="uk-UA"/>
        </w:rPr>
        <w:t xml:space="preserve">Київ </w:t>
      </w:r>
      <w:r w:rsidR="009106E9">
        <w:rPr>
          <w:rFonts w:ascii="Times New Roman" w:hAnsi="Times New Roman"/>
          <w:szCs w:val="28"/>
          <w:lang w:val="uk-UA"/>
        </w:rPr>
        <w:t>– 2021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42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C076E5">
        <w:rPr>
          <w:rFonts w:ascii="Times New Roman" w:hAnsi="Times New Roman"/>
          <w:color w:val="000000" w:themeColor="text1"/>
          <w:szCs w:val="28"/>
          <w:lang w:val="uk-UA"/>
        </w:rPr>
        <w:lastRenderedPageBreak/>
        <w:t xml:space="preserve">1. Київський обласний центр соціальних служб (далі - </w:t>
      </w:r>
      <w:r w:rsidR="00A469B9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>ентр) є закладом, що проводить методичне забезпечення організації соціальної роботи, надання соціальних послуг, організовує навчання з пита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нь проведення соціальної роботи</w:t>
      </w:r>
      <w:r w:rsidR="00B05637" w:rsidRPr="00B05637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і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надання соціальних послуг.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bookmarkStart w:id="0" w:name="n15"/>
      <w:bookmarkEnd w:id="0"/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Метою діяльності </w:t>
      </w:r>
      <w:r w:rsidR="00A469B9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>ентру є методичне забезпечення проведення у територіальних громадах соціальної роботи, надання соціальних послуг, соціальної допомоги, соціальної підтримки особам/ сім’ям, які належать до вразливих груп населення та/або перебувають у складних життєвих обставинах, організація навчальних зах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одів з питань соціальної роботи і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надання соціальних послуг.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:rsidR="009106E9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bookmarkStart w:id="1" w:name="n16"/>
      <w:bookmarkEnd w:id="1"/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2. </w:t>
      </w:r>
      <w:r w:rsidR="009106E9">
        <w:rPr>
          <w:rFonts w:ascii="Times New Roman" w:hAnsi="Times New Roman"/>
          <w:color w:val="000000" w:themeColor="text1"/>
          <w:szCs w:val="28"/>
          <w:lang w:val="ru-RU"/>
        </w:rPr>
        <w:t>Центр є правонаступником Київського обласного центру соціальних служб для сім</w:t>
      </w:r>
      <w:r w:rsidR="009106E9" w:rsidRPr="00E30CE3">
        <w:rPr>
          <w:rFonts w:ascii="Times New Roman" w:hAnsi="Times New Roman"/>
          <w:color w:val="000000" w:themeColor="text1"/>
          <w:szCs w:val="28"/>
          <w:lang w:val="ru-RU"/>
        </w:rPr>
        <w:t>’</w:t>
      </w:r>
      <w:r w:rsidR="009106E9">
        <w:rPr>
          <w:rFonts w:ascii="Times New Roman" w:hAnsi="Times New Roman"/>
          <w:color w:val="000000" w:themeColor="text1"/>
          <w:szCs w:val="28"/>
          <w:lang w:val="uk-UA"/>
        </w:rPr>
        <w:t>ї, дітей та молоді.</w:t>
      </w:r>
    </w:p>
    <w:p w:rsidR="009106E9" w:rsidRPr="009106E9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:rsidR="003A26A4" w:rsidRPr="00E30CE3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E30CE3">
        <w:rPr>
          <w:rFonts w:ascii="Times New Roman" w:hAnsi="Times New Roman"/>
          <w:color w:val="000000" w:themeColor="text1"/>
          <w:szCs w:val="28"/>
          <w:lang w:val="uk-UA"/>
        </w:rPr>
        <w:t xml:space="preserve">3.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E30CE3">
        <w:rPr>
          <w:rFonts w:ascii="Times New Roman" w:hAnsi="Times New Roman"/>
          <w:color w:val="000000" w:themeColor="text1"/>
          <w:szCs w:val="28"/>
          <w:lang w:val="uk-UA"/>
        </w:rPr>
        <w:t>ентр утворюється, реорганіз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ов</w:t>
      </w:r>
      <w:r w:rsidR="003A26A4" w:rsidRPr="00E30CE3">
        <w:rPr>
          <w:rFonts w:ascii="Times New Roman" w:hAnsi="Times New Roman"/>
          <w:color w:val="000000" w:themeColor="text1"/>
          <w:szCs w:val="28"/>
          <w:lang w:val="uk-UA"/>
        </w:rPr>
        <w:t>ується та ліквід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ов</w:t>
      </w:r>
      <w:r w:rsidR="003A26A4" w:rsidRPr="00E30CE3">
        <w:rPr>
          <w:rFonts w:ascii="Times New Roman" w:hAnsi="Times New Roman"/>
          <w:color w:val="000000" w:themeColor="text1"/>
          <w:szCs w:val="28"/>
          <w:lang w:val="uk-UA"/>
        </w:rPr>
        <w:t>ується</w:t>
      </w:r>
      <w:r w:rsidRPr="00E30CE3">
        <w:rPr>
          <w:rFonts w:ascii="Times New Roman" w:hAnsi="Times New Roman"/>
          <w:color w:val="000000" w:themeColor="text1"/>
          <w:szCs w:val="28"/>
          <w:lang w:val="uk-UA"/>
        </w:rPr>
        <w:t xml:space="preserve"> розпорядженням голови Київської </w:t>
      </w:r>
      <w:r>
        <w:rPr>
          <w:rFonts w:ascii="Times New Roman" w:hAnsi="Times New Roman"/>
          <w:color w:val="000000" w:themeColor="text1"/>
          <w:szCs w:val="28"/>
          <w:lang w:val="uk-UA"/>
        </w:rPr>
        <w:t>обласної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E30CE3">
        <w:rPr>
          <w:rFonts w:ascii="Times New Roman" w:hAnsi="Times New Roman"/>
          <w:color w:val="000000" w:themeColor="text1"/>
          <w:szCs w:val="28"/>
          <w:lang w:val="uk-UA"/>
        </w:rPr>
        <w:t xml:space="preserve"> держа</w:t>
      </w:r>
      <w:r>
        <w:rPr>
          <w:rFonts w:ascii="Times New Roman" w:hAnsi="Times New Roman"/>
          <w:color w:val="000000" w:themeColor="text1"/>
          <w:szCs w:val="28"/>
          <w:lang w:val="uk-UA"/>
        </w:rPr>
        <w:t>вної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а</w:t>
      </w:r>
      <w:r w:rsidRPr="00E30CE3">
        <w:rPr>
          <w:rFonts w:ascii="Times New Roman" w:hAnsi="Times New Roman"/>
          <w:color w:val="000000" w:themeColor="text1"/>
          <w:szCs w:val="28"/>
          <w:lang w:val="uk-UA"/>
        </w:rPr>
        <w:t>дміністрації</w:t>
      </w:r>
      <w:r w:rsidR="003A26A4" w:rsidRPr="00E30CE3">
        <w:rPr>
          <w:rFonts w:ascii="Times New Roman" w:hAnsi="Times New Roman"/>
          <w:color w:val="000000" w:themeColor="text1"/>
          <w:szCs w:val="28"/>
          <w:lang w:val="uk-UA"/>
        </w:rPr>
        <w:t>.</w:t>
      </w:r>
    </w:p>
    <w:p w:rsidR="003A26A4" w:rsidRPr="00E30CE3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" w:name="n17"/>
      <w:bookmarkEnd w:id="2"/>
      <w:r>
        <w:rPr>
          <w:rFonts w:ascii="Times New Roman" w:hAnsi="Times New Roman"/>
          <w:color w:val="000000" w:themeColor="text1"/>
          <w:szCs w:val="28"/>
          <w:lang w:val="ru-RU"/>
        </w:rPr>
        <w:t>4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Положення, кошторис і штатний розпис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ентру затверджуються </w:t>
      </w:r>
      <w:bookmarkStart w:id="3" w:name="n18"/>
      <w:bookmarkEnd w:id="3"/>
      <w:r>
        <w:rPr>
          <w:rFonts w:ascii="Times New Roman" w:hAnsi="Times New Roman"/>
          <w:color w:val="000000" w:themeColor="text1"/>
          <w:szCs w:val="28"/>
          <w:lang w:val="ru-RU"/>
        </w:rPr>
        <w:t>Київською обласною державною адміністрацією.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Примірна структура та штатний норматив чисельності працівників 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 затверджуються Мінсоцполітики.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" w:name="n19"/>
      <w:bookmarkEnd w:id="4"/>
      <w:r>
        <w:rPr>
          <w:rFonts w:ascii="Times New Roman" w:hAnsi="Times New Roman"/>
          <w:color w:val="000000" w:themeColor="text1"/>
          <w:szCs w:val="28"/>
          <w:lang w:val="ru-RU"/>
        </w:rPr>
        <w:t>5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у своїй діяльності керується </w:t>
      </w:r>
      <w:hyperlink r:id="rId7" w:tgtFrame="_blank" w:history="1">
        <w:r w:rsidR="003A26A4" w:rsidRPr="00C076E5">
          <w:rPr>
            <w:rFonts w:ascii="Times New Roman" w:hAnsi="Times New Roman"/>
            <w:color w:val="000000" w:themeColor="text1"/>
            <w:szCs w:val="28"/>
            <w:lang w:val="ru-RU"/>
          </w:rPr>
          <w:t>Конституцією</w:t>
        </w:r>
      </w:hyperlink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 та законами України, актами Президента України і Кабінету Міністрів України, наказами Мінсоцполітики, Держсоцслужби, іншими нормативно-правовими актами у сфері соціальної роботи та надання соціальних послуг, а також цим Положенням.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5" w:name="n20"/>
      <w:bookmarkEnd w:id="5"/>
      <w:r>
        <w:rPr>
          <w:rFonts w:ascii="Times New Roman" w:hAnsi="Times New Roman"/>
          <w:color w:val="000000" w:themeColor="text1"/>
          <w:szCs w:val="28"/>
          <w:lang w:val="ru-RU"/>
        </w:rPr>
        <w:t xml:space="preserve">6.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провадить діяльність за принципами дотримання прав людини, прав дит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ини та прав осіб з інвалідністю,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гуманізму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забезпечення рівних прав т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а можливостей жінок і чоловіків,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поваги до честі та гідності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толерантності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, законності, соціальної справедливості, доступності та відкритості,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неуперед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женості та безпечності,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добровільності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, індивідуального підходу,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комплексності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, конфіденційності,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максимальної ефективності та прозорості використання надавачами соціальних п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ослуг бюджетних та інших коштів,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забезпечення високого рівня якості соціальних послуг.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6" w:name="n21"/>
      <w:bookmarkEnd w:id="6"/>
      <w:r>
        <w:rPr>
          <w:rFonts w:ascii="Times New Roman" w:hAnsi="Times New Roman"/>
          <w:color w:val="000000" w:themeColor="text1"/>
          <w:szCs w:val="28"/>
          <w:lang w:val="ru-RU"/>
        </w:rPr>
        <w:t>7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. Осн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овними завданнями </w:t>
      </w:r>
      <w:r w:rsidR="00A469B9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ентру є:</w:t>
      </w: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7" w:name="n22"/>
      <w:bookmarkEnd w:id="7"/>
      <w:r>
        <w:rPr>
          <w:rFonts w:ascii="Times New Roman" w:hAnsi="Times New Roman"/>
          <w:color w:val="000000" w:themeColor="text1"/>
          <w:szCs w:val="28"/>
          <w:lang w:val="uk-UA"/>
        </w:rPr>
        <w:t>1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 xml:space="preserve">)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методична допомога громадам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у проведенні соціальної роботи, наданні соціальних послуг;</w:t>
      </w: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8" w:name="n23"/>
      <w:bookmarkEnd w:id="8"/>
      <w:r>
        <w:rPr>
          <w:rFonts w:ascii="Times New Roman" w:hAnsi="Times New Roman"/>
          <w:color w:val="000000" w:themeColor="text1"/>
          <w:szCs w:val="28"/>
          <w:lang w:val="uk-UA"/>
        </w:rPr>
        <w:t>2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 xml:space="preserve">)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організаці</w:t>
      </w:r>
      <w:r w:rsidR="00B05637">
        <w:rPr>
          <w:rFonts w:ascii="Times New Roman" w:hAnsi="Times New Roman"/>
          <w:color w:val="000000" w:themeColor="text1"/>
          <w:szCs w:val="28"/>
          <w:lang w:val="ru-RU"/>
        </w:rPr>
        <w:t>я навчання із соціальної роботи і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надання соціальних послуг;</w:t>
      </w:r>
    </w:p>
    <w:p w:rsidR="003A26A4" w:rsidRPr="00C076E5" w:rsidRDefault="00B05637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9" w:name="n24"/>
      <w:bookmarkEnd w:id="9"/>
      <w:r>
        <w:rPr>
          <w:rFonts w:ascii="Times New Roman" w:hAnsi="Times New Roman"/>
          <w:color w:val="000000" w:themeColor="text1"/>
          <w:szCs w:val="28"/>
          <w:lang w:val="uk-UA"/>
        </w:rPr>
        <w:t xml:space="preserve">3)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організація інформування громад щодо сімейних цінностей, профілактики соціального сирітства, недопущення насильства, жорстокого поводження з дітьми;</w:t>
      </w: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0" w:name="n25"/>
      <w:bookmarkEnd w:id="10"/>
      <w:r>
        <w:rPr>
          <w:rFonts w:ascii="Times New Roman" w:hAnsi="Times New Roman"/>
          <w:color w:val="000000" w:themeColor="text1"/>
          <w:szCs w:val="28"/>
          <w:lang w:val="uk-UA"/>
        </w:rPr>
        <w:lastRenderedPageBreak/>
        <w:t>4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 xml:space="preserve">)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проведення навчальних заходів для надавачів соціальних послуг, спеціалістів виконавчих органів місцевого самоврядування, які здійснюють управління системою надання соціальних послуг сім’ям та дітям.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9106E9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1" w:name="n26"/>
      <w:bookmarkEnd w:id="11"/>
      <w:r>
        <w:rPr>
          <w:rFonts w:ascii="Times New Roman" w:hAnsi="Times New Roman"/>
          <w:color w:val="000000" w:themeColor="text1"/>
          <w:szCs w:val="28"/>
          <w:lang w:val="ru-RU"/>
        </w:rPr>
        <w:t>8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відповідно до визначених для нього завдань: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2" w:name="n27"/>
      <w:bookmarkEnd w:id="12"/>
      <w:r w:rsidRPr="00C076E5">
        <w:rPr>
          <w:rFonts w:ascii="Times New Roman" w:hAnsi="Times New Roman"/>
          <w:color w:val="000000" w:themeColor="text1"/>
          <w:szCs w:val="28"/>
          <w:lang w:val="uk-UA"/>
        </w:rPr>
        <w:t>1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готує інформаційно-аналітичні довідки, інформує районні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 xml:space="preserve">державні 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>адміністрації,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</w:t>
      </w:r>
      <w:r w:rsidR="009106E9">
        <w:rPr>
          <w:rFonts w:ascii="Times New Roman" w:hAnsi="Times New Roman"/>
          <w:color w:val="000000" w:themeColor="text1"/>
          <w:szCs w:val="28"/>
          <w:lang w:val="ru-RU"/>
        </w:rPr>
        <w:t xml:space="preserve">виконавчі органи міських,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сільськ</w:t>
      </w:r>
      <w:r w:rsidR="009106E9">
        <w:rPr>
          <w:rFonts w:ascii="Times New Roman" w:hAnsi="Times New Roman"/>
          <w:color w:val="000000" w:themeColor="text1"/>
          <w:szCs w:val="28"/>
          <w:lang w:val="uk-UA"/>
        </w:rPr>
        <w:t>их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>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селищн</w:t>
      </w:r>
      <w:r w:rsidR="009106E9">
        <w:rPr>
          <w:rFonts w:ascii="Times New Roman" w:hAnsi="Times New Roman"/>
          <w:color w:val="000000" w:themeColor="text1"/>
          <w:szCs w:val="28"/>
          <w:lang w:val="uk-UA"/>
        </w:rPr>
        <w:t xml:space="preserve">их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рад</w:t>
      </w:r>
      <w:r w:rsidR="009106E9">
        <w:rPr>
          <w:rFonts w:ascii="Times New Roman" w:hAnsi="Times New Roman"/>
          <w:color w:val="000000" w:themeColor="text1"/>
          <w:szCs w:val="28"/>
          <w:lang w:val="ru-RU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територіальних громад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Київської області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про ситуаці</w:t>
      </w:r>
      <w:r w:rsidR="00E51723">
        <w:rPr>
          <w:rFonts w:ascii="Times New Roman" w:hAnsi="Times New Roman"/>
          <w:color w:val="000000" w:themeColor="text1"/>
          <w:szCs w:val="28"/>
          <w:lang w:val="ru-RU"/>
        </w:rPr>
        <w:t>ю щодо розвитку послуг в Київській області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, вносить пропозиції щодо поліпшення доступності та якості соціальних послуг керівництву адміністративно-територіальних одиниць;</w:t>
      </w:r>
    </w:p>
    <w:p w:rsidR="003A26A4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3" w:name="n28"/>
      <w:bookmarkEnd w:id="13"/>
      <w:r w:rsidRPr="00C076E5">
        <w:rPr>
          <w:rFonts w:ascii="Times New Roman" w:hAnsi="Times New Roman"/>
          <w:color w:val="000000" w:themeColor="text1"/>
          <w:szCs w:val="28"/>
          <w:lang w:val="uk-UA"/>
        </w:rPr>
        <w:t>2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сприяє впровадженню державних стандартів соціальних послуг;</w:t>
      </w:r>
    </w:p>
    <w:p w:rsidR="00E51723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r>
        <w:rPr>
          <w:rFonts w:ascii="Times New Roman" w:hAnsi="Times New Roman"/>
          <w:color w:val="000000" w:themeColor="text1"/>
          <w:szCs w:val="28"/>
          <w:lang w:val="ru-RU"/>
        </w:rPr>
        <w:t>3</w:t>
      </w:r>
      <w:r w:rsidR="00B05637">
        <w:rPr>
          <w:rFonts w:ascii="Times New Roman" w:hAnsi="Times New Roman"/>
          <w:color w:val="000000" w:themeColor="text1"/>
          <w:szCs w:val="28"/>
          <w:lang w:val="ru-RU"/>
        </w:rPr>
        <w:t>)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впроваджує нові технології соціальної роботи та надання соціальних послуг</w:t>
      </w:r>
      <w:r w:rsidR="00B05637">
        <w:rPr>
          <w:rFonts w:ascii="Times New Roman" w:hAnsi="Times New Roman"/>
          <w:color w:val="000000" w:themeColor="text1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у тому числі міжнародних;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4" w:name="n29"/>
      <w:bookmarkStart w:id="15" w:name="n30"/>
      <w:bookmarkEnd w:id="14"/>
      <w:bookmarkEnd w:id="15"/>
      <w:r>
        <w:rPr>
          <w:rFonts w:ascii="Times New Roman" w:hAnsi="Times New Roman"/>
          <w:color w:val="000000" w:themeColor="text1"/>
          <w:szCs w:val="28"/>
          <w:lang w:val="uk-UA"/>
        </w:rPr>
        <w:t>4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забезпечує методичний та інформаційний супровід діяльності закладів, установ, організацій</w:t>
      </w:r>
      <w:r>
        <w:rPr>
          <w:rFonts w:ascii="Times New Roman" w:hAnsi="Times New Roman"/>
          <w:color w:val="000000" w:themeColor="text1"/>
          <w:szCs w:val="28"/>
          <w:lang w:val="ru-RU"/>
        </w:rPr>
        <w:t>, що проводять соціальну роботу, надають соціальні послуги;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6" w:name="n31"/>
      <w:bookmarkEnd w:id="16"/>
      <w:r>
        <w:rPr>
          <w:rFonts w:ascii="Times New Roman" w:hAnsi="Times New Roman"/>
          <w:color w:val="000000" w:themeColor="text1"/>
          <w:szCs w:val="28"/>
          <w:lang w:val="uk-UA"/>
        </w:rPr>
        <w:t>5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організовує та проводить семінари і тренінги з питань організації проведення соціальної роботи та надання соціальних послуг для працівників закладів, установ, що надають соціальні послуги у відповідних адміністративно-територіальних одиницях, фахівців із соціальної роботи,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посадових осіб</w:t>
      </w:r>
      <w:r>
        <w:rPr>
          <w:rFonts w:ascii="Times New Roman" w:hAnsi="Times New Roman"/>
          <w:color w:val="000000" w:themeColor="text1"/>
          <w:szCs w:val="28"/>
          <w:lang w:val="uk-UA"/>
        </w:rPr>
        <w:t xml:space="preserve"> районних державних адміністрацій,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органів місцевого самоврядування, працівників служб у справах дітей, за результатами яких видає відповідний документ;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7" w:name="n32"/>
      <w:bookmarkEnd w:id="17"/>
      <w:r>
        <w:rPr>
          <w:rFonts w:ascii="Times New Roman" w:hAnsi="Times New Roman"/>
          <w:color w:val="000000" w:themeColor="text1"/>
          <w:szCs w:val="28"/>
          <w:lang w:val="uk-UA"/>
        </w:rPr>
        <w:t>6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співпрацює з відповідними закладами вищої освіти та науково-дослідними установами, науково-практичними відділеннями, творчими об’єднаннями та організаціями, діяльність яких пов’язана із соціальною роботою, наданням соціальних послуг;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8" w:name="n33"/>
      <w:bookmarkEnd w:id="18"/>
      <w:r>
        <w:rPr>
          <w:rFonts w:ascii="Times New Roman" w:hAnsi="Times New Roman"/>
          <w:color w:val="000000" w:themeColor="text1"/>
          <w:szCs w:val="28"/>
          <w:lang w:val="uk-UA"/>
        </w:rPr>
        <w:t>7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впроваджує програми навчання та підвищення професійної компетентності/кваліфікації для працівників закладів, установ, що надають соціальні послуги у відповідній адміністративно-територіальній одиниці, фахівців із соціальної роботи, посадових осіб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районних державних адміністрацій,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органів місцевого самоврядування, працівників служб у справах дітей, патронатних вихователів, кандидатів у прийомні батьки, батьки-вихователі, наставники, усиновлювачі (згідно з вимогами законодавства), опікунів/ піклувальників;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19" w:name="n34"/>
      <w:bookmarkEnd w:id="19"/>
      <w:r>
        <w:rPr>
          <w:rFonts w:ascii="Times New Roman" w:hAnsi="Times New Roman"/>
          <w:color w:val="000000" w:themeColor="text1"/>
          <w:szCs w:val="28"/>
          <w:lang w:val="uk-UA"/>
        </w:rPr>
        <w:t>8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проводить підготовку кандидатів у прийомні батьки, батьки-вихователі, патронатні вихователі, опікуни, піклувальники, наставники, усиновлювачі (згідно з вимогами законодавства), за результатами якої готує рекомендації службі у справах дітей щодо можливості влаштування в їх сім’ї дітей, забезпечує підвищення кваліфікації таких осіб;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0" w:name="n35"/>
      <w:bookmarkEnd w:id="20"/>
      <w:r>
        <w:rPr>
          <w:rFonts w:ascii="Times New Roman" w:hAnsi="Times New Roman"/>
          <w:color w:val="000000" w:themeColor="text1"/>
          <w:szCs w:val="28"/>
          <w:lang w:val="uk-UA"/>
        </w:rPr>
        <w:t>9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забезпечує підготовку тренерів із реалізації соціальних проектів і програм, проведення тренінгових навчань для фахівців соціальної сфери;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1" w:name="n36"/>
      <w:bookmarkEnd w:id="21"/>
      <w:r>
        <w:rPr>
          <w:rFonts w:ascii="Times New Roman" w:hAnsi="Times New Roman"/>
          <w:color w:val="000000" w:themeColor="text1"/>
          <w:szCs w:val="28"/>
          <w:lang w:val="uk-UA"/>
        </w:rPr>
        <w:t>10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збирає та узагальнює статистичні дані щодо надання соціальних послуг вразливим категоріям населення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на території Київської області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2" w:name="n37"/>
      <w:bookmarkEnd w:id="22"/>
      <w:r>
        <w:rPr>
          <w:rFonts w:ascii="Times New Roman" w:hAnsi="Times New Roman"/>
          <w:color w:val="000000" w:themeColor="text1"/>
          <w:szCs w:val="28"/>
          <w:lang w:val="uk-UA"/>
        </w:rPr>
        <w:t>11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бере участь у визначенні потреб жителів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Київської області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у соціальних послугах, а також у розробленні та виконанні програм надання соціальних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lastRenderedPageBreak/>
        <w:t xml:space="preserve">послуг, розроблених за результатами визначення потреб жителів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Київської області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у соціальних послугах;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3" w:name="n38"/>
      <w:bookmarkEnd w:id="23"/>
      <w:r>
        <w:rPr>
          <w:rFonts w:ascii="Times New Roman" w:hAnsi="Times New Roman"/>
          <w:color w:val="000000" w:themeColor="text1"/>
          <w:szCs w:val="28"/>
          <w:lang w:val="uk-UA"/>
        </w:rPr>
        <w:t>12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аналізує виконання місцевих програм з надання соціальних послуг, готує пропозиції щодо їх розвитку;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4" w:name="n39"/>
      <w:bookmarkEnd w:id="24"/>
      <w:r>
        <w:rPr>
          <w:rFonts w:ascii="Times New Roman" w:hAnsi="Times New Roman"/>
          <w:color w:val="000000" w:themeColor="text1"/>
          <w:szCs w:val="28"/>
          <w:lang w:val="uk-UA"/>
        </w:rPr>
        <w:t>13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проводить засідання за круглим столом, конференції, дослідження щодо надання соціальних послуг, моніторинг та оцінювання якості соціальних послуг відповідно до державних стандартів;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5" w:name="n40"/>
      <w:bookmarkEnd w:id="25"/>
      <w:r>
        <w:rPr>
          <w:rFonts w:ascii="Times New Roman" w:hAnsi="Times New Roman"/>
          <w:color w:val="000000" w:themeColor="text1"/>
          <w:szCs w:val="28"/>
          <w:lang w:val="uk-UA"/>
        </w:rPr>
        <w:t>14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організовує і проводить науково-методичні та рекламно-інформаційні заходи з питань організації соціальної роботи та надання соціальних послуг: виставки, презентації, семінари, засідання за круглим столом, готує науково-методичні матеріали тощо;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6" w:name="n41"/>
      <w:bookmarkEnd w:id="26"/>
      <w:r>
        <w:rPr>
          <w:rFonts w:ascii="Times New Roman" w:hAnsi="Times New Roman"/>
          <w:color w:val="000000" w:themeColor="text1"/>
          <w:szCs w:val="28"/>
          <w:lang w:val="uk-UA"/>
        </w:rPr>
        <w:t>15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поширює досвід роботи установ, закладів та організацій, фахівців із соціальної роботи з питань надання соціальних послуг вразли</w:t>
      </w:r>
      <w:r>
        <w:rPr>
          <w:rFonts w:ascii="Times New Roman" w:hAnsi="Times New Roman"/>
          <w:color w:val="000000" w:themeColor="text1"/>
          <w:szCs w:val="28"/>
          <w:lang w:val="ru-RU"/>
        </w:rPr>
        <w:t>вим верствам населення в Київській області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;</w:t>
      </w: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7" w:name="n42"/>
      <w:bookmarkEnd w:id="27"/>
      <w:r>
        <w:rPr>
          <w:rFonts w:ascii="Times New Roman" w:hAnsi="Times New Roman"/>
          <w:color w:val="000000" w:themeColor="text1"/>
          <w:szCs w:val="28"/>
          <w:lang w:val="uk-UA"/>
        </w:rPr>
        <w:t>16</w:t>
      </w:r>
      <w:r w:rsidR="00B05637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співпрацює з місцевими органами виконавчої влади, органами місцевого самоврядування, підприємствами, установами та організаціями, громадськими об’єднаннями.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8" w:name="n43"/>
      <w:bookmarkEnd w:id="28"/>
      <w:r>
        <w:rPr>
          <w:rFonts w:ascii="Times New Roman" w:hAnsi="Times New Roman"/>
          <w:color w:val="000000" w:themeColor="text1"/>
          <w:szCs w:val="28"/>
          <w:lang w:val="ru-RU"/>
        </w:rPr>
        <w:t>9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має право: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29" w:name="n44"/>
      <w:bookmarkEnd w:id="29"/>
      <w:r w:rsidRPr="00C076E5">
        <w:rPr>
          <w:rFonts w:ascii="Times New Roman" w:hAnsi="Times New Roman"/>
          <w:color w:val="000000" w:themeColor="text1"/>
          <w:szCs w:val="28"/>
          <w:lang w:val="uk-UA"/>
        </w:rPr>
        <w:t>1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вносити Мінсоцполітики, місцевим органам виконавчої влади та органам місцевого самоврядування пропозиції щодо вдосконалення соціальної роботи, надання соціальних послуг;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0" w:name="n45"/>
      <w:bookmarkEnd w:id="30"/>
      <w:r w:rsidRPr="00C076E5">
        <w:rPr>
          <w:rFonts w:ascii="Times New Roman" w:hAnsi="Times New Roman"/>
          <w:color w:val="000000" w:themeColor="text1"/>
          <w:szCs w:val="28"/>
          <w:lang w:val="uk-UA"/>
        </w:rPr>
        <w:t>2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укладати в установленому порядку договори з підприємствами, установами та організаціями</w:t>
      </w:r>
      <w:r w:rsidR="00B05637">
        <w:rPr>
          <w:rFonts w:ascii="Times New Roman" w:hAnsi="Times New Roman"/>
          <w:color w:val="000000" w:themeColor="text1"/>
          <w:szCs w:val="28"/>
          <w:lang w:val="ru-RU"/>
        </w:rPr>
        <w:t>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</w:t>
      </w:r>
      <w:r w:rsidR="00B05637">
        <w:rPr>
          <w:rFonts w:ascii="Times New Roman" w:hAnsi="Times New Roman"/>
          <w:color w:val="000000" w:themeColor="text1"/>
          <w:szCs w:val="28"/>
          <w:lang w:val="ru-RU"/>
        </w:rPr>
        <w:t>в тому числі іноземними,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щодо проведення робіт, спрямованих на виконання визначених для нього завдань;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1" w:name="n46"/>
      <w:bookmarkEnd w:id="31"/>
      <w:r w:rsidRPr="00C076E5">
        <w:rPr>
          <w:rFonts w:ascii="Times New Roman" w:hAnsi="Times New Roman"/>
          <w:color w:val="000000" w:themeColor="text1"/>
          <w:szCs w:val="28"/>
          <w:lang w:val="uk-UA"/>
        </w:rPr>
        <w:t>3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залучати спеціалістів науково-дослідних установ, закладів вищої освіти, фахівців інших закладів, установ та організацій різних форм власності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за погодженням з їх керівниками,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для </w:t>
      </w:r>
      <w:r w:rsidR="00E51723">
        <w:rPr>
          <w:rFonts w:ascii="Times New Roman" w:hAnsi="Times New Roman"/>
          <w:color w:val="000000" w:themeColor="text1"/>
          <w:szCs w:val="28"/>
          <w:lang w:val="ru-RU"/>
        </w:rPr>
        <w:t>виконання завдань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2" w:name="n47"/>
      <w:bookmarkEnd w:id="32"/>
      <w:r w:rsidRPr="00C076E5">
        <w:rPr>
          <w:rFonts w:ascii="Times New Roman" w:hAnsi="Times New Roman"/>
          <w:color w:val="000000" w:themeColor="text1"/>
          <w:szCs w:val="28"/>
          <w:lang w:val="uk-UA"/>
        </w:rPr>
        <w:t>4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в установленому порядку одержувати інформацію, аналітичні та інші матеріали від органів місцевого самоврядування, установ, закладів та організацій, що надають соціальні послуги у громадах, фахівців із соціальної роботи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про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стан надання соціальних послуг;</w:t>
      </w:r>
    </w:p>
    <w:p w:rsidR="003A26A4" w:rsidRPr="00C076E5" w:rsidRDefault="00A665EF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3" w:name="n48"/>
      <w:bookmarkEnd w:id="33"/>
      <w:r>
        <w:rPr>
          <w:rFonts w:ascii="Times New Roman" w:hAnsi="Times New Roman"/>
          <w:color w:val="000000" w:themeColor="text1"/>
          <w:szCs w:val="28"/>
          <w:lang w:val="uk-UA"/>
        </w:rPr>
        <w:t>5)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подавати в установленому порядку пропозиції щодо розвитку інноваційних соціальних послуг у громадах.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4" w:name="n49"/>
      <w:bookmarkEnd w:id="34"/>
      <w:r>
        <w:rPr>
          <w:rFonts w:ascii="Times New Roman" w:hAnsi="Times New Roman"/>
          <w:color w:val="000000" w:themeColor="text1"/>
          <w:szCs w:val="28"/>
          <w:lang w:val="ru-RU"/>
        </w:rPr>
        <w:t>10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очолює директор, якого призначає на посаду і звільняє з посади в установленому законодавством порядку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голова Київської обласної державної адміністрації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E51723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5" w:name="n50"/>
      <w:bookmarkEnd w:id="35"/>
      <w:r>
        <w:rPr>
          <w:rFonts w:ascii="Times New Roman" w:hAnsi="Times New Roman"/>
          <w:color w:val="000000" w:themeColor="text1"/>
          <w:szCs w:val="28"/>
          <w:lang w:val="ru-RU"/>
        </w:rPr>
        <w:t>11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Директор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ентру: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6" w:name="n51"/>
      <w:bookmarkEnd w:id="36"/>
      <w:r w:rsidRPr="00C076E5">
        <w:rPr>
          <w:rFonts w:ascii="Times New Roman" w:hAnsi="Times New Roman"/>
          <w:color w:val="000000" w:themeColor="text1"/>
          <w:szCs w:val="28"/>
          <w:lang w:val="uk-UA"/>
        </w:rPr>
        <w:t>1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організовує роботу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ентру, персонально відповідає за виконання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ентром визначених для нього завдань;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7" w:name="n52"/>
      <w:bookmarkEnd w:id="37"/>
      <w:r w:rsidRPr="00C076E5">
        <w:rPr>
          <w:rFonts w:ascii="Times New Roman" w:hAnsi="Times New Roman"/>
          <w:color w:val="000000" w:themeColor="text1"/>
          <w:szCs w:val="28"/>
          <w:lang w:val="uk-UA"/>
        </w:rPr>
        <w:t>2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складає в установленому порядку штатний розпис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 в межах граничної чисельності працівників та фонду оплати праці відповідно до типової структури та штатної чисельності, що затверджуються Мінсоцполітики;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8" w:name="n53"/>
      <w:bookmarkEnd w:id="38"/>
      <w:r w:rsidRPr="00C076E5">
        <w:rPr>
          <w:rFonts w:ascii="Times New Roman" w:hAnsi="Times New Roman"/>
          <w:color w:val="000000" w:themeColor="text1"/>
          <w:szCs w:val="28"/>
          <w:lang w:val="uk-UA"/>
        </w:rPr>
        <w:lastRenderedPageBreak/>
        <w:t>3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затверджує положення про структурні підрозділи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 та посадові інструкції його працівників;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39" w:name="n54"/>
      <w:bookmarkEnd w:id="39"/>
      <w:r w:rsidRPr="00C076E5">
        <w:rPr>
          <w:rFonts w:ascii="Times New Roman" w:hAnsi="Times New Roman"/>
          <w:color w:val="000000" w:themeColor="text1"/>
          <w:szCs w:val="28"/>
          <w:lang w:val="uk-UA"/>
        </w:rPr>
        <w:t>4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видає в межах своїх повноважень накази організаційно-розпорядчого характеру, організовує і контролює їх виконання;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0" w:name="n55"/>
      <w:bookmarkEnd w:id="40"/>
      <w:r w:rsidRPr="00C076E5">
        <w:rPr>
          <w:rFonts w:ascii="Times New Roman" w:hAnsi="Times New Roman"/>
          <w:color w:val="000000" w:themeColor="text1"/>
          <w:szCs w:val="28"/>
          <w:lang w:val="uk-UA"/>
        </w:rPr>
        <w:t>5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представляє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 у відносинах з органами державної влади, органами місцевого самоврядування, підприємствами, установами та організаціями;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1" w:name="n56"/>
      <w:bookmarkEnd w:id="41"/>
      <w:r w:rsidRPr="00C076E5">
        <w:rPr>
          <w:rFonts w:ascii="Times New Roman" w:hAnsi="Times New Roman"/>
          <w:color w:val="000000" w:themeColor="text1"/>
          <w:szCs w:val="28"/>
          <w:lang w:val="uk-UA"/>
        </w:rPr>
        <w:t>6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проводить особистий прийом громадян з пита</w:t>
      </w:r>
      <w:r w:rsidR="00E51723">
        <w:rPr>
          <w:rFonts w:ascii="Times New Roman" w:hAnsi="Times New Roman"/>
          <w:color w:val="000000" w:themeColor="text1"/>
          <w:szCs w:val="28"/>
          <w:lang w:val="ru-RU"/>
        </w:rPr>
        <w:t>нь, що належать до компетенції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2" w:name="n57"/>
      <w:bookmarkEnd w:id="42"/>
      <w:r w:rsidRPr="00C076E5">
        <w:rPr>
          <w:rFonts w:ascii="Times New Roman" w:hAnsi="Times New Roman"/>
          <w:color w:val="000000" w:themeColor="text1"/>
          <w:szCs w:val="28"/>
          <w:lang w:val="uk-UA"/>
        </w:rPr>
        <w:t>7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розпоряджається в установл</w:t>
      </w:r>
      <w:r w:rsidR="00E51723">
        <w:rPr>
          <w:rFonts w:ascii="Times New Roman" w:hAnsi="Times New Roman"/>
          <w:color w:val="000000" w:themeColor="text1"/>
          <w:szCs w:val="28"/>
          <w:lang w:val="ru-RU"/>
        </w:rPr>
        <w:t>еному порядку майном і коштами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3" w:name="n58"/>
      <w:bookmarkEnd w:id="43"/>
      <w:r w:rsidRPr="00C076E5">
        <w:rPr>
          <w:rFonts w:ascii="Times New Roman" w:hAnsi="Times New Roman"/>
          <w:color w:val="000000" w:themeColor="text1"/>
          <w:szCs w:val="28"/>
          <w:lang w:val="uk-UA"/>
        </w:rPr>
        <w:t>8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E51723">
        <w:rPr>
          <w:rFonts w:ascii="Times New Roman" w:hAnsi="Times New Roman"/>
          <w:color w:val="000000" w:themeColor="text1"/>
          <w:szCs w:val="28"/>
          <w:lang w:val="ru-RU"/>
        </w:rPr>
        <w:t>утворює в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ентрі атестаційну комісію, сприяє підвищенню кваліфікації працівників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4" w:name="n59"/>
      <w:bookmarkEnd w:id="44"/>
      <w:r w:rsidRPr="00C076E5">
        <w:rPr>
          <w:rFonts w:ascii="Times New Roman" w:hAnsi="Times New Roman"/>
          <w:color w:val="000000" w:themeColor="text1"/>
          <w:szCs w:val="28"/>
          <w:lang w:val="uk-UA"/>
        </w:rPr>
        <w:t>9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призначає на посади та</w:t>
      </w:r>
      <w:r w:rsidR="00882A52">
        <w:rPr>
          <w:rFonts w:ascii="Times New Roman" w:hAnsi="Times New Roman"/>
          <w:color w:val="000000" w:themeColor="text1"/>
          <w:szCs w:val="28"/>
          <w:lang w:val="ru-RU"/>
        </w:rPr>
        <w:t xml:space="preserve"> звільняє з посад працівників 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ентру;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5" w:name="n60"/>
      <w:bookmarkEnd w:id="45"/>
      <w:r w:rsidRPr="00C076E5">
        <w:rPr>
          <w:rFonts w:ascii="Times New Roman" w:hAnsi="Times New Roman"/>
          <w:color w:val="000000" w:themeColor="text1"/>
          <w:szCs w:val="28"/>
          <w:lang w:val="uk-UA"/>
        </w:rPr>
        <w:t>10</w:t>
      </w:r>
      <w:r w:rsidR="00A665EF">
        <w:rPr>
          <w:rFonts w:ascii="Times New Roman" w:hAnsi="Times New Roman"/>
          <w:color w:val="000000" w:themeColor="text1"/>
          <w:szCs w:val="28"/>
          <w:lang w:val="uk-UA"/>
        </w:rPr>
        <w:t>)</w:t>
      </w:r>
      <w:r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приймає рішення щодо заохочення та притягнення до дисциплінарної відповідальності працівників</w:t>
      </w:r>
      <w:r w:rsidR="00882A52">
        <w:rPr>
          <w:rFonts w:ascii="Times New Roman" w:hAnsi="Times New Roman"/>
          <w:color w:val="000000" w:themeColor="text1"/>
          <w:szCs w:val="28"/>
          <w:lang w:val="ru-RU"/>
        </w:rPr>
        <w:t xml:space="preserve"> Ц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ентру.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882A52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6" w:name="n61"/>
      <w:bookmarkEnd w:id="46"/>
      <w:r>
        <w:rPr>
          <w:rFonts w:ascii="Times New Roman" w:hAnsi="Times New Roman"/>
          <w:color w:val="000000" w:themeColor="text1"/>
          <w:szCs w:val="28"/>
          <w:lang w:val="ru-RU"/>
        </w:rPr>
        <w:t>12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Діяльність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ентру фінансується за рахунок коштів </w:t>
      </w:r>
      <w:r w:rsidR="00037E8E">
        <w:rPr>
          <w:rFonts w:ascii="Times New Roman" w:hAnsi="Times New Roman"/>
          <w:color w:val="000000" w:themeColor="text1"/>
          <w:szCs w:val="28"/>
          <w:lang w:val="ru-RU"/>
        </w:rPr>
        <w:t xml:space="preserve">обласного бюджету </w:t>
      </w:r>
      <w:r>
        <w:rPr>
          <w:rFonts w:ascii="Times New Roman" w:hAnsi="Times New Roman"/>
          <w:color w:val="000000" w:themeColor="text1"/>
          <w:szCs w:val="28"/>
          <w:lang w:val="uk-UA"/>
        </w:rPr>
        <w:t>Київської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області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та інших джерел, не заборонених законодавством.</w:t>
      </w:r>
      <w:bookmarkStart w:id="47" w:name="n62"/>
      <w:bookmarkEnd w:id="47"/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882A52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r>
        <w:rPr>
          <w:rFonts w:ascii="Times New Roman" w:hAnsi="Times New Roman"/>
          <w:color w:val="000000" w:themeColor="text1"/>
          <w:szCs w:val="28"/>
          <w:lang w:val="ru-RU"/>
        </w:rPr>
        <w:t>13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Для виконання своїх повноважень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може утворювати тренінгові центри та мобільні консультаційні пункти.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882A52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8" w:name="n63"/>
      <w:bookmarkEnd w:id="48"/>
      <w:r>
        <w:rPr>
          <w:rFonts w:ascii="Times New Roman" w:hAnsi="Times New Roman"/>
          <w:color w:val="000000" w:themeColor="text1"/>
          <w:szCs w:val="28"/>
          <w:lang w:val="ru-RU"/>
        </w:rPr>
        <w:t>14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Умови оплати праці, тривалість робочого часу та відпусток працівників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ентру встановлюються відповідно до законодавства.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Pr="00C076E5" w:rsidRDefault="00882A52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49" w:name="n64"/>
      <w:bookmarkEnd w:id="49"/>
      <w:r>
        <w:rPr>
          <w:rFonts w:ascii="Times New Roman" w:hAnsi="Times New Roman"/>
          <w:color w:val="000000" w:themeColor="text1"/>
          <w:szCs w:val="28"/>
          <w:lang w:val="ru-RU"/>
        </w:rPr>
        <w:t>15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Для осіб з інвалідністю та інших маломобільних груп населення </w:t>
      </w:r>
      <w:r w:rsidR="00A665EF">
        <w:rPr>
          <w:rFonts w:ascii="Times New Roman" w:hAnsi="Times New Roman"/>
          <w:color w:val="000000" w:themeColor="text1"/>
          <w:szCs w:val="28"/>
          <w:lang w:val="ru-RU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ентром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у просторі, відповідно до вимог,</w:t>
      </w:r>
      <w:r>
        <w:rPr>
          <w:rFonts w:ascii="Times New Roman" w:hAnsi="Times New Roman"/>
          <w:color w:val="000000" w:themeColor="text1"/>
          <w:szCs w:val="28"/>
          <w:lang w:val="ru-RU"/>
        </w:rPr>
        <w:t xml:space="preserve"> установлених ДБН В.2.240:2018 «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Будинки і споруди. Інклюзивність будівель і споруд. Основні </w:t>
      </w:r>
      <w:r>
        <w:rPr>
          <w:rFonts w:ascii="Times New Roman" w:hAnsi="Times New Roman"/>
          <w:color w:val="000000" w:themeColor="text1"/>
          <w:szCs w:val="28"/>
          <w:lang w:val="ru-RU"/>
        </w:rPr>
        <w:t>положення» та ДБН В.2.2-9:2018 «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Громадські будинк</w:t>
      </w:r>
      <w:r>
        <w:rPr>
          <w:rFonts w:ascii="Times New Roman" w:hAnsi="Times New Roman"/>
          <w:color w:val="000000" w:themeColor="text1"/>
          <w:szCs w:val="28"/>
          <w:lang w:val="ru-RU"/>
        </w:rPr>
        <w:t>и та споруди. Основні положення»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50" w:name="n65"/>
      <w:bookmarkEnd w:id="50"/>
      <w:r w:rsidRPr="00C076E5">
        <w:rPr>
          <w:rFonts w:ascii="Times New Roman" w:hAnsi="Times New Roman"/>
          <w:color w:val="000000" w:themeColor="text1"/>
          <w:szCs w:val="28"/>
          <w:lang w:val="ru-RU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8" w:anchor="n247" w:tgtFrame="_blank" w:history="1">
        <w:r w:rsidRPr="00C076E5">
          <w:rPr>
            <w:rFonts w:ascii="Times New Roman" w:hAnsi="Times New Roman"/>
            <w:color w:val="000000" w:themeColor="text1"/>
            <w:szCs w:val="28"/>
            <w:lang w:val="ru-RU"/>
          </w:rPr>
          <w:t>частини другої</w:t>
        </w:r>
      </w:hyperlink>
      <w:r w:rsidR="00882A52">
        <w:rPr>
          <w:rFonts w:ascii="Times New Roman" w:hAnsi="Times New Roman"/>
          <w:color w:val="000000" w:themeColor="text1"/>
          <w:szCs w:val="28"/>
          <w:lang w:val="ru-RU"/>
        </w:rPr>
        <w:t> статті 27 Закону України «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>Про основи соціальної захищеност</w:t>
      </w:r>
      <w:r w:rsidR="00882A52">
        <w:rPr>
          <w:rFonts w:ascii="Times New Roman" w:hAnsi="Times New Roman"/>
          <w:color w:val="000000" w:themeColor="text1"/>
          <w:szCs w:val="28"/>
          <w:lang w:val="ru-RU"/>
        </w:rPr>
        <w:t>і осіб з інвалідністю в Україні»</w:t>
      </w:r>
      <w:r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 за погодженням із громадськими об’єднаннями осіб з інвалідністю.</w:t>
      </w:r>
    </w:p>
    <w:p w:rsidR="003A26A4" w:rsidRPr="00C076E5" w:rsidRDefault="003A26A4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3A26A4" w:rsidRDefault="00882A52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  <w:bookmarkStart w:id="51" w:name="n66"/>
      <w:bookmarkEnd w:id="51"/>
      <w:r>
        <w:rPr>
          <w:rFonts w:ascii="Times New Roman" w:hAnsi="Times New Roman"/>
          <w:color w:val="000000" w:themeColor="text1"/>
          <w:szCs w:val="28"/>
          <w:lang w:val="ru-RU"/>
        </w:rPr>
        <w:t>16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 xml:space="preserve">. </w:t>
      </w:r>
      <w:r w:rsidR="003A26A4" w:rsidRPr="00C076E5">
        <w:rPr>
          <w:rFonts w:ascii="Times New Roman" w:hAnsi="Times New Roman"/>
          <w:color w:val="000000" w:themeColor="text1"/>
          <w:szCs w:val="28"/>
          <w:lang w:val="uk-UA"/>
        </w:rPr>
        <w:t>Ц</w:t>
      </w:r>
      <w:r w:rsidR="003A26A4" w:rsidRPr="00C076E5">
        <w:rPr>
          <w:rFonts w:ascii="Times New Roman" w:hAnsi="Times New Roman"/>
          <w:color w:val="000000" w:themeColor="text1"/>
          <w:szCs w:val="28"/>
          <w:lang w:val="ru-RU"/>
        </w:rPr>
        <w:t>ентр є юридичною особою, має самостійний баланс, рахунки в територіальних органах Казначейства, печатку та бланк із своїм найменуванням.</w:t>
      </w:r>
    </w:p>
    <w:p w:rsidR="00A665EF" w:rsidRPr="00C076E5" w:rsidRDefault="00A665EF" w:rsidP="001B49D4">
      <w:pPr>
        <w:shd w:val="clear" w:color="auto" w:fill="FFFFFF"/>
        <w:overflowPunct/>
        <w:autoSpaceDE/>
        <w:autoSpaceDN/>
        <w:adjustRightInd/>
        <w:ind w:firstLine="376"/>
        <w:jc w:val="both"/>
        <w:rPr>
          <w:rFonts w:ascii="Times New Roman" w:hAnsi="Times New Roman"/>
          <w:color w:val="000000" w:themeColor="text1"/>
          <w:szCs w:val="28"/>
          <w:lang w:val="ru-RU"/>
        </w:rPr>
      </w:pPr>
    </w:p>
    <w:p w:rsidR="00265DFE" w:rsidRPr="00265DFE" w:rsidRDefault="00265DFE" w:rsidP="00265DFE">
      <w:pPr>
        <w:overflowPunct/>
        <w:autoSpaceDE/>
        <w:autoSpaceDN/>
        <w:adjustRightInd/>
        <w:rPr>
          <w:rFonts w:ascii="Times New Roman" w:eastAsiaTheme="minorHAnsi" w:hAnsi="Times New Roman"/>
          <w:b/>
          <w:sz w:val="27"/>
          <w:szCs w:val="27"/>
          <w:lang w:val="uk-UA" w:eastAsia="en-US"/>
        </w:rPr>
      </w:pPr>
      <w:r w:rsidRPr="00265DFE"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>Начальник служби у справах дітей та сім</w:t>
      </w:r>
      <w:r w:rsidRPr="00265DFE">
        <w:rPr>
          <w:rFonts w:ascii="Times New Roman" w:eastAsiaTheme="minorHAnsi" w:hAnsi="Times New Roman"/>
          <w:b/>
          <w:sz w:val="27"/>
          <w:szCs w:val="27"/>
          <w:lang w:val="ru-RU" w:eastAsia="en-US"/>
        </w:rPr>
        <w:t>’</w:t>
      </w:r>
      <w:r w:rsidRPr="00265DFE"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>ї</w:t>
      </w:r>
      <w:r w:rsidRPr="00265DFE"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ab/>
      </w:r>
    </w:p>
    <w:p w:rsidR="00265DFE" w:rsidRPr="00265DFE" w:rsidRDefault="00265DFE" w:rsidP="00265DFE">
      <w:pPr>
        <w:overflowPunct/>
        <w:autoSpaceDE/>
        <w:autoSpaceDN/>
        <w:adjustRightInd/>
        <w:rPr>
          <w:rFonts w:ascii="Times New Roman" w:eastAsiaTheme="minorHAnsi" w:hAnsi="Times New Roman"/>
          <w:b/>
          <w:sz w:val="27"/>
          <w:szCs w:val="27"/>
          <w:lang w:val="uk-UA" w:eastAsia="en-US"/>
        </w:rPr>
      </w:pPr>
      <w:r w:rsidRPr="00265DFE">
        <w:rPr>
          <w:rFonts w:ascii="Times New Roman" w:eastAsiaTheme="minorHAnsi" w:hAnsi="Times New Roman" w:cstheme="minorBidi"/>
          <w:b/>
          <w:color w:val="000000"/>
          <w:spacing w:val="5"/>
          <w:sz w:val="27"/>
          <w:szCs w:val="27"/>
          <w:lang w:val="uk-UA" w:eastAsia="en-US"/>
        </w:rPr>
        <w:t>Київської обласної державної адміністрації</w:t>
      </w:r>
      <w:r w:rsidRPr="00265DFE"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ab/>
        <w:t xml:space="preserve">   </w:t>
      </w:r>
      <w:r w:rsidR="006C24A5">
        <w:rPr>
          <w:rFonts w:ascii="Times New Roman" w:hAnsi="Times New Roman"/>
          <w:b/>
          <w:szCs w:val="28"/>
          <w:highlight w:val="white"/>
          <w:lang w:val="ru-RU"/>
        </w:rPr>
        <w:t>(п</w:t>
      </w:r>
      <w:r w:rsidR="006C24A5">
        <w:rPr>
          <w:rFonts w:ascii="Times New Roman" w:hAnsi="Times New Roman"/>
          <w:b/>
          <w:szCs w:val="28"/>
          <w:highlight w:val="white"/>
        </w:rPr>
        <w:t>ідпис)</w:t>
      </w:r>
      <w:bookmarkStart w:id="52" w:name="_GoBack"/>
      <w:bookmarkEnd w:id="52"/>
      <w:r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 xml:space="preserve">    </w:t>
      </w:r>
      <w:r w:rsidRPr="00265DFE"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 xml:space="preserve">  </w:t>
      </w:r>
      <w:r>
        <w:rPr>
          <w:rFonts w:ascii="Times New Roman" w:eastAsiaTheme="minorHAnsi" w:hAnsi="Times New Roman"/>
          <w:b/>
          <w:sz w:val="27"/>
          <w:szCs w:val="27"/>
          <w:lang w:val="uk-UA" w:eastAsia="en-US"/>
        </w:rPr>
        <w:t xml:space="preserve"> Ірина АНТОШКО</w:t>
      </w:r>
    </w:p>
    <w:p w:rsidR="00265DFE" w:rsidRPr="00265DFE" w:rsidRDefault="00265DFE" w:rsidP="00265DFE">
      <w:pPr>
        <w:overflowPunct/>
        <w:autoSpaceDE/>
        <w:autoSpaceDN/>
        <w:adjustRightInd/>
        <w:rPr>
          <w:rFonts w:ascii="Times New Roman" w:eastAsiaTheme="minorHAnsi" w:hAnsi="Times New Roman"/>
          <w:b/>
          <w:szCs w:val="28"/>
          <w:lang w:val="uk-UA" w:eastAsia="en-US"/>
        </w:rPr>
      </w:pPr>
    </w:p>
    <w:p w:rsidR="003A26A4" w:rsidRPr="00AC11CC" w:rsidRDefault="003A26A4">
      <w:pPr>
        <w:rPr>
          <w:lang w:val="uk-UA"/>
        </w:rPr>
      </w:pPr>
    </w:p>
    <w:sectPr w:rsidR="003A26A4" w:rsidRPr="00AC11CC" w:rsidSect="00A665EF">
      <w:headerReference w:type="default" r:id="rId9"/>
      <w:headerReference w:type="first" r:id="rId10"/>
      <w:pgSz w:w="11906" w:h="16838"/>
      <w:pgMar w:top="1134" w:right="567" w:bottom="851" w:left="1701" w:header="68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C96" w:rsidRDefault="00215C96" w:rsidP="005E42CF">
      <w:r>
        <w:separator/>
      </w:r>
    </w:p>
  </w:endnote>
  <w:endnote w:type="continuationSeparator" w:id="0">
    <w:p w:rsidR="00215C96" w:rsidRDefault="00215C96" w:rsidP="005E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C96" w:rsidRDefault="00215C96" w:rsidP="005E42CF">
      <w:r>
        <w:separator/>
      </w:r>
    </w:p>
  </w:footnote>
  <w:footnote w:type="continuationSeparator" w:id="0">
    <w:p w:rsidR="00215C96" w:rsidRDefault="00215C96" w:rsidP="005E4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12083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15C96" w:rsidRPr="005E42CF" w:rsidRDefault="00246B43">
        <w:pPr>
          <w:pStyle w:val="a7"/>
          <w:jc w:val="center"/>
          <w:rPr>
            <w:rFonts w:ascii="Times New Roman" w:hAnsi="Times New Roman"/>
          </w:rPr>
        </w:pPr>
        <w:r w:rsidRPr="005E42CF">
          <w:rPr>
            <w:rFonts w:ascii="Times New Roman" w:hAnsi="Times New Roman"/>
          </w:rPr>
          <w:fldChar w:fldCharType="begin"/>
        </w:r>
        <w:r w:rsidR="00215C96" w:rsidRPr="005E42CF">
          <w:rPr>
            <w:rFonts w:ascii="Times New Roman" w:hAnsi="Times New Roman"/>
          </w:rPr>
          <w:instrText xml:space="preserve"> PAGE   \* MERGEFORMAT </w:instrText>
        </w:r>
        <w:r w:rsidRPr="005E42CF">
          <w:rPr>
            <w:rFonts w:ascii="Times New Roman" w:hAnsi="Times New Roman"/>
          </w:rPr>
          <w:fldChar w:fldCharType="separate"/>
        </w:r>
        <w:r w:rsidR="006C24A5">
          <w:rPr>
            <w:rFonts w:ascii="Times New Roman" w:hAnsi="Times New Roman"/>
            <w:noProof/>
          </w:rPr>
          <w:t>5</w:t>
        </w:r>
        <w:r w:rsidRPr="005E42CF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599578"/>
      <w:docPartObj>
        <w:docPartGallery w:val="Page Numbers (Top of Page)"/>
        <w:docPartUnique/>
      </w:docPartObj>
    </w:sdtPr>
    <w:sdtEndPr/>
    <w:sdtContent>
      <w:p w:rsidR="00215C96" w:rsidRDefault="006C24A5">
        <w:pPr>
          <w:pStyle w:val="a7"/>
          <w:jc w:val="center"/>
        </w:pPr>
      </w:p>
    </w:sdtContent>
  </w:sdt>
  <w:p w:rsidR="00215C96" w:rsidRDefault="00215C9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CC"/>
    <w:rsid w:val="00001477"/>
    <w:rsid w:val="00012687"/>
    <w:rsid w:val="0002372C"/>
    <w:rsid w:val="0002765C"/>
    <w:rsid w:val="00037E8E"/>
    <w:rsid w:val="00082174"/>
    <w:rsid w:val="000B68A3"/>
    <w:rsid w:val="000E4ED0"/>
    <w:rsid w:val="00111CAA"/>
    <w:rsid w:val="0012636B"/>
    <w:rsid w:val="00163563"/>
    <w:rsid w:val="00180536"/>
    <w:rsid w:val="00181658"/>
    <w:rsid w:val="00191744"/>
    <w:rsid w:val="001B49D4"/>
    <w:rsid w:val="001E131D"/>
    <w:rsid w:val="001F0DF1"/>
    <w:rsid w:val="001F3A59"/>
    <w:rsid w:val="001F5ABB"/>
    <w:rsid w:val="00210BAF"/>
    <w:rsid w:val="00215C96"/>
    <w:rsid w:val="00246B43"/>
    <w:rsid w:val="00264114"/>
    <w:rsid w:val="00265DFE"/>
    <w:rsid w:val="00277D54"/>
    <w:rsid w:val="002824C4"/>
    <w:rsid w:val="002913FD"/>
    <w:rsid w:val="002A38B8"/>
    <w:rsid w:val="002D1EFB"/>
    <w:rsid w:val="002F18FA"/>
    <w:rsid w:val="003374C9"/>
    <w:rsid w:val="0034317F"/>
    <w:rsid w:val="00345179"/>
    <w:rsid w:val="00374663"/>
    <w:rsid w:val="0037487C"/>
    <w:rsid w:val="003A0EFF"/>
    <w:rsid w:val="003A26A4"/>
    <w:rsid w:val="003A438A"/>
    <w:rsid w:val="003C6F19"/>
    <w:rsid w:val="003D581E"/>
    <w:rsid w:val="004078C1"/>
    <w:rsid w:val="00417094"/>
    <w:rsid w:val="00436AD4"/>
    <w:rsid w:val="00440075"/>
    <w:rsid w:val="004811FB"/>
    <w:rsid w:val="004937C2"/>
    <w:rsid w:val="004A38C0"/>
    <w:rsid w:val="004A78CA"/>
    <w:rsid w:val="004F0F8F"/>
    <w:rsid w:val="0050786C"/>
    <w:rsid w:val="00523C22"/>
    <w:rsid w:val="005538E9"/>
    <w:rsid w:val="00594185"/>
    <w:rsid w:val="005A6CED"/>
    <w:rsid w:val="005A789A"/>
    <w:rsid w:val="005D24A8"/>
    <w:rsid w:val="005D7AE1"/>
    <w:rsid w:val="005E42CF"/>
    <w:rsid w:val="005F0327"/>
    <w:rsid w:val="00642F05"/>
    <w:rsid w:val="00644012"/>
    <w:rsid w:val="0066449C"/>
    <w:rsid w:val="006908AC"/>
    <w:rsid w:val="00695655"/>
    <w:rsid w:val="00696B6E"/>
    <w:rsid w:val="006C24A5"/>
    <w:rsid w:val="006D3930"/>
    <w:rsid w:val="006D5B61"/>
    <w:rsid w:val="00712F95"/>
    <w:rsid w:val="0073783F"/>
    <w:rsid w:val="00751FD6"/>
    <w:rsid w:val="00780D4E"/>
    <w:rsid w:val="007B26D9"/>
    <w:rsid w:val="007D54B1"/>
    <w:rsid w:val="007E0E56"/>
    <w:rsid w:val="007F2ABC"/>
    <w:rsid w:val="007F429D"/>
    <w:rsid w:val="007F5BFB"/>
    <w:rsid w:val="008028DA"/>
    <w:rsid w:val="00815350"/>
    <w:rsid w:val="0085506A"/>
    <w:rsid w:val="008664AE"/>
    <w:rsid w:val="00882A52"/>
    <w:rsid w:val="008A6EC9"/>
    <w:rsid w:val="008C4C8D"/>
    <w:rsid w:val="008E33C6"/>
    <w:rsid w:val="009106E9"/>
    <w:rsid w:val="00974012"/>
    <w:rsid w:val="00990DC4"/>
    <w:rsid w:val="009B10B4"/>
    <w:rsid w:val="009D2D4C"/>
    <w:rsid w:val="00A07A17"/>
    <w:rsid w:val="00A11085"/>
    <w:rsid w:val="00A33D6D"/>
    <w:rsid w:val="00A469B9"/>
    <w:rsid w:val="00A643C1"/>
    <w:rsid w:val="00A665EF"/>
    <w:rsid w:val="00A712FD"/>
    <w:rsid w:val="00AA3F19"/>
    <w:rsid w:val="00AB1343"/>
    <w:rsid w:val="00AC11CC"/>
    <w:rsid w:val="00AE3235"/>
    <w:rsid w:val="00B04648"/>
    <w:rsid w:val="00B05637"/>
    <w:rsid w:val="00B24D91"/>
    <w:rsid w:val="00B35183"/>
    <w:rsid w:val="00B81138"/>
    <w:rsid w:val="00BB3989"/>
    <w:rsid w:val="00BC01C0"/>
    <w:rsid w:val="00C076E5"/>
    <w:rsid w:val="00C15A2D"/>
    <w:rsid w:val="00C51770"/>
    <w:rsid w:val="00C60C5D"/>
    <w:rsid w:val="00C84A40"/>
    <w:rsid w:val="00C933CF"/>
    <w:rsid w:val="00CE71CA"/>
    <w:rsid w:val="00D166F4"/>
    <w:rsid w:val="00D34F4F"/>
    <w:rsid w:val="00D61FA2"/>
    <w:rsid w:val="00D72879"/>
    <w:rsid w:val="00D916DC"/>
    <w:rsid w:val="00D9209B"/>
    <w:rsid w:val="00E14EB6"/>
    <w:rsid w:val="00E30CE3"/>
    <w:rsid w:val="00E51723"/>
    <w:rsid w:val="00E51AF0"/>
    <w:rsid w:val="00E60811"/>
    <w:rsid w:val="00E90CB7"/>
    <w:rsid w:val="00E933AC"/>
    <w:rsid w:val="00ED044F"/>
    <w:rsid w:val="00F02046"/>
    <w:rsid w:val="00F30B46"/>
    <w:rsid w:val="00F9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6FBE5B0-E9F4-4DE7-8AC1-B8E3D97F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1CC"/>
    <w:pPr>
      <w:overflowPunct w:val="0"/>
      <w:autoSpaceDE w:val="0"/>
      <w:autoSpaceDN w:val="0"/>
      <w:adjustRightInd w:val="0"/>
      <w:spacing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11CC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aliases w:val=" Знак8"/>
    <w:basedOn w:val="a"/>
    <w:link w:val="a5"/>
    <w:uiPriority w:val="99"/>
    <w:rsid w:val="00AC11CC"/>
    <w:pPr>
      <w:suppressAutoHyphens/>
      <w:overflowPunct/>
      <w:autoSpaceDE/>
      <w:autoSpaceDN/>
      <w:adjustRightInd/>
      <w:jc w:val="both"/>
    </w:pPr>
    <w:rPr>
      <w:rFonts w:ascii="Times New Roman" w:hAnsi="Times New Roman"/>
      <w:sz w:val="24"/>
      <w:lang w:val="uk-UA" w:eastAsia="zh-CN"/>
    </w:rPr>
  </w:style>
  <w:style w:type="character" w:customStyle="1" w:styleId="a5">
    <w:name w:val="Основной текст Знак"/>
    <w:aliases w:val=" Знак8 Знак"/>
    <w:basedOn w:val="a0"/>
    <w:link w:val="a4"/>
    <w:uiPriority w:val="99"/>
    <w:rsid w:val="00AC11C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6">
    <w:name w:val="Strong"/>
    <w:basedOn w:val="a0"/>
    <w:uiPriority w:val="22"/>
    <w:qFormat/>
    <w:rsid w:val="00AC11CC"/>
    <w:rPr>
      <w:b/>
      <w:bCs/>
    </w:rPr>
  </w:style>
  <w:style w:type="paragraph" w:styleId="a7">
    <w:name w:val="header"/>
    <w:basedOn w:val="a"/>
    <w:link w:val="a8"/>
    <w:uiPriority w:val="99"/>
    <w:unhideWhenUsed/>
    <w:rsid w:val="005E42C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42CF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9">
    <w:name w:val="footer"/>
    <w:basedOn w:val="a"/>
    <w:link w:val="aa"/>
    <w:uiPriority w:val="99"/>
    <w:unhideWhenUsed/>
    <w:rsid w:val="005E42C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42CF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b">
    <w:name w:val="Balloon Text"/>
    <w:basedOn w:val="a"/>
    <w:link w:val="ac"/>
    <w:uiPriority w:val="99"/>
    <w:semiHidden/>
    <w:unhideWhenUsed/>
    <w:rsid w:val="00A469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9B9"/>
    <w:rPr>
      <w:rFonts w:ascii="Segoe UI" w:eastAsia="Times New Roman" w:hAnsi="Segoe UI" w:cs="Segoe UI"/>
      <w:sz w:val="18"/>
      <w:szCs w:val="18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75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6212D-4D0D-4F52-88F1-D07DA92C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ZAG2</dc:creator>
  <cp:lastModifiedBy>Пользователь Windows</cp:lastModifiedBy>
  <cp:revision>11</cp:revision>
  <cp:lastPrinted>2021-04-29T06:30:00Z</cp:lastPrinted>
  <dcterms:created xsi:type="dcterms:W3CDTF">2020-12-28T13:21:00Z</dcterms:created>
  <dcterms:modified xsi:type="dcterms:W3CDTF">2021-05-17T13:55:00Z</dcterms:modified>
</cp:coreProperties>
</file>