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32C" w:rsidRPr="002E0D28" w:rsidRDefault="005A432C" w:rsidP="005A432C">
      <w:pPr>
        <w:spacing w:after="200" w:line="276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FF1521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2C" w:rsidRPr="002E0D28" w:rsidRDefault="005A432C" w:rsidP="005A432C">
      <w:pPr>
        <w:keepNext/>
        <w:tabs>
          <w:tab w:val="num" w:pos="0"/>
        </w:tabs>
        <w:spacing w:after="200" w:line="276" w:lineRule="auto"/>
        <w:jc w:val="center"/>
        <w:textAlignment w:val="baseline"/>
        <w:outlineLvl w:val="1"/>
        <w:rPr>
          <w:rFonts w:ascii="Times New Roman" w:eastAsia="Calibri" w:hAnsi="Times New Roman"/>
          <w:b/>
          <w:szCs w:val="26"/>
          <w:lang w:eastAsia="en-US"/>
        </w:rPr>
      </w:pPr>
      <w:r w:rsidRPr="002E0D28">
        <w:rPr>
          <w:rFonts w:ascii="Times New Roman" w:eastAsia="Calibri" w:hAnsi="Times New Roman"/>
          <w:b/>
          <w:szCs w:val="26"/>
          <w:lang w:eastAsia="en-US"/>
        </w:rPr>
        <w:t>КИЇВСЬКА ОБЛАСНА ДЕРЖАВНА АДМІНІСТРАЦІЯ</w:t>
      </w:r>
    </w:p>
    <w:p w:rsidR="005A432C" w:rsidRPr="002E0D28" w:rsidRDefault="005A432C" w:rsidP="005A432C">
      <w:pPr>
        <w:keepNext/>
        <w:tabs>
          <w:tab w:val="num" w:pos="0"/>
        </w:tabs>
        <w:spacing w:after="200" w:line="276" w:lineRule="auto"/>
        <w:jc w:val="center"/>
        <w:textAlignment w:val="baseline"/>
        <w:outlineLvl w:val="1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E0D28">
        <w:rPr>
          <w:rFonts w:ascii="Times New Roman" w:eastAsia="Calibri" w:hAnsi="Times New Roman"/>
          <w:b/>
          <w:sz w:val="34"/>
          <w:szCs w:val="24"/>
          <w:lang w:eastAsia="en-US"/>
        </w:rPr>
        <w:t>РОЗПОРЯДЖЕННЯ</w:t>
      </w:r>
    </w:p>
    <w:p w:rsidR="005A432C" w:rsidRPr="002E0D28" w:rsidRDefault="005A432C" w:rsidP="005A432C">
      <w:pPr>
        <w:spacing w:line="240" w:lineRule="exact"/>
        <w:rPr>
          <w:rFonts w:ascii="Times New Roman" w:eastAsia="Calibri" w:hAnsi="Times New Roman"/>
          <w:b/>
          <w:lang w:eastAsia="en-US"/>
        </w:rPr>
      </w:pPr>
    </w:p>
    <w:p w:rsidR="005A432C" w:rsidRPr="005A432C" w:rsidRDefault="005A432C" w:rsidP="005A432C">
      <w:pPr>
        <w:spacing w:after="200" w:line="300" w:lineRule="exact"/>
        <w:rPr>
          <w:rFonts w:ascii="Times New Roman" w:eastAsia="Calibri" w:hAnsi="Times New Roman"/>
          <w:b/>
          <w:bCs/>
          <w:lang w:val="uk-UA" w:eastAsia="en-US"/>
        </w:rPr>
      </w:pPr>
      <w:r>
        <w:rPr>
          <w:rFonts w:ascii="Times New Roman" w:eastAsia="Calibri" w:hAnsi="Times New Roman"/>
          <w:b/>
          <w:lang w:val="uk-UA" w:eastAsia="en-US"/>
        </w:rPr>
        <w:t>від 07</w:t>
      </w:r>
      <w:r w:rsidRPr="00FF1521">
        <w:rPr>
          <w:rFonts w:ascii="Times New Roman" w:eastAsia="Calibri" w:hAnsi="Times New Roman"/>
          <w:b/>
          <w:lang w:val="uk-UA" w:eastAsia="en-US"/>
        </w:rPr>
        <w:t xml:space="preserve"> квітня 2021 р.                             Київ                                                   № 1</w:t>
      </w:r>
      <w:r>
        <w:rPr>
          <w:rFonts w:ascii="Times New Roman" w:eastAsia="Calibri" w:hAnsi="Times New Roman"/>
          <w:b/>
          <w:lang w:eastAsia="en-US"/>
        </w:rPr>
        <w:t>9</w:t>
      </w:r>
      <w:r>
        <w:rPr>
          <w:rFonts w:ascii="Times New Roman" w:eastAsia="Calibri" w:hAnsi="Times New Roman"/>
          <w:b/>
          <w:lang w:val="uk-UA" w:eastAsia="en-US"/>
        </w:rPr>
        <w:t>9</w:t>
      </w:r>
    </w:p>
    <w:p w:rsidR="00B4030D" w:rsidRDefault="00B4030D" w:rsidP="00B4030D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bCs/>
          <w:lang w:val="uk-UA"/>
        </w:rPr>
      </w:pPr>
    </w:p>
    <w:p w:rsidR="00B4030D" w:rsidRDefault="00B4030D" w:rsidP="00B4030D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bCs/>
          <w:lang w:val="uk-UA"/>
        </w:rPr>
      </w:pPr>
    </w:p>
    <w:p w:rsidR="00B4030D" w:rsidRPr="00B4030D" w:rsidRDefault="00B4030D" w:rsidP="00B4030D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shd w:val="clear" w:color="auto" w:fill="FFFFFF"/>
        <w:suppressAutoHyphens/>
        <w:ind w:right="5379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Про деякі питання створення госпітальної ради при Київській обласній державній адміністрації</w:t>
      </w:r>
    </w:p>
    <w:p w:rsidR="00FA5379" w:rsidRPr="00B4030D" w:rsidRDefault="00FA5379" w:rsidP="00B4030D">
      <w:pPr>
        <w:shd w:val="clear" w:color="auto" w:fill="FFFFFF"/>
        <w:suppressAutoHyphens/>
        <w:ind w:firstLine="720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shd w:val="clear" w:color="auto" w:fill="FFFFFF"/>
        <w:suppressAutoHyphens/>
        <w:ind w:firstLine="720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 xml:space="preserve">Відповідно до статті 16 Основ законодавства України про охорону здоров’я, постанови Кабінету Міністрів України від 27 листопада 2019 </w:t>
      </w:r>
      <w:r w:rsidR="00B4030D">
        <w:rPr>
          <w:rFonts w:ascii="Times New Roman" w:hAnsi="Times New Roman" w:cs="Times New Roman"/>
          <w:lang w:val="uk-UA"/>
        </w:rPr>
        <w:t xml:space="preserve">року </w:t>
      </w:r>
      <w:r w:rsidRPr="00B4030D">
        <w:rPr>
          <w:rFonts w:ascii="Times New Roman" w:hAnsi="Times New Roman" w:cs="Times New Roman"/>
          <w:lang w:val="uk-UA"/>
        </w:rPr>
        <w:t>№ 1074 «Деякі питання створення госпітальних округів», наказу Міністерства охорони здоров’я України від 28 жовтня 2020 року № 2439 «Про затвердження Типового положення про госпітальну раду», зареєстрованого в Міністерстві юстиції України 09 грудня 2020 року за № 1227/35510:</w:t>
      </w:r>
    </w:p>
    <w:p w:rsidR="00FA5379" w:rsidRPr="00B4030D" w:rsidRDefault="00FA5379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1. Утворити госпітальну раду при Київській обласній державній адміністрації та затвердити її персональний склад, що додається.</w:t>
      </w:r>
    </w:p>
    <w:p w:rsidR="00FA5379" w:rsidRPr="00B4030D" w:rsidRDefault="00FA5379" w:rsidP="00B4030D">
      <w:pPr>
        <w:ind w:left="708"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2. Затвердити Положення про госпітальну раду при Київській обласній державній адміністрації, що додається.</w:t>
      </w:r>
    </w:p>
    <w:p w:rsidR="00FA5379" w:rsidRPr="00B4030D" w:rsidRDefault="00FA5379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 xml:space="preserve">3. Визнати таким, що втратило чинність, розпорядження тимчасово виконуючого обов’язки голови Київської обласної державної адміністрації від </w:t>
      </w:r>
      <w:r w:rsidR="00B4030D">
        <w:rPr>
          <w:rFonts w:ascii="Times New Roman" w:hAnsi="Times New Roman" w:cs="Times New Roman"/>
          <w:lang w:val="uk-UA"/>
        </w:rPr>
        <w:br/>
      </w:r>
      <w:r w:rsidRPr="00B4030D">
        <w:rPr>
          <w:rFonts w:ascii="Times New Roman" w:hAnsi="Times New Roman" w:cs="Times New Roman"/>
          <w:lang w:val="uk-UA"/>
        </w:rPr>
        <w:t>12 березня 2020 року № 139 «Про деякі питання створення госпітальної ради при Київській обласній державній адміністрації».</w:t>
      </w:r>
    </w:p>
    <w:p w:rsidR="00FA5379" w:rsidRPr="00B4030D" w:rsidRDefault="00FA5379" w:rsidP="00B4030D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ind w:firstLine="567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lang w:val="uk-UA"/>
        </w:rPr>
        <w:t>4. Контроль за виконанням цього розпорядження покласти на заступника голови Київської обласної державної адміністрації Щербак Т.В.</w:t>
      </w:r>
    </w:p>
    <w:p w:rsidR="00FA5379" w:rsidRPr="00B4030D" w:rsidRDefault="00FA5379" w:rsidP="00B4030D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Голова адміністрації</w:t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="00424B83">
        <w:rPr>
          <w:rFonts w:ascii="Times New Roman" w:hAnsi="Times New Roman" w:cs="Times New Roman"/>
          <w:b/>
          <w:bCs/>
          <w:lang w:val="uk-UA"/>
        </w:rPr>
        <w:t>(підпис)</w:t>
      </w:r>
      <w:bookmarkStart w:id="0" w:name="_GoBack"/>
      <w:bookmarkEnd w:id="0"/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="00D30EA8">
        <w:rPr>
          <w:rFonts w:ascii="Times New Roman" w:hAnsi="Times New Roman" w:cs="Times New Roman"/>
          <w:b/>
          <w:bCs/>
          <w:lang w:val="uk-UA"/>
        </w:rPr>
        <w:t xml:space="preserve">   </w:t>
      </w:r>
      <w:r w:rsidRPr="00B4030D">
        <w:rPr>
          <w:rFonts w:ascii="Times New Roman" w:hAnsi="Times New Roman" w:cs="Times New Roman"/>
          <w:b/>
          <w:bCs/>
          <w:lang w:val="uk-UA"/>
        </w:rPr>
        <w:t>Василь ВОЛОДІН</w:t>
      </w: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B4030D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5A432C" w:rsidRPr="00B4030D" w:rsidRDefault="005A432C" w:rsidP="00B4030D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D30EA8">
      <w:pPr>
        <w:spacing w:line="360" w:lineRule="auto"/>
        <w:ind w:left="5245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ЗАТВЕРДЖЕНО</w:t>
      </w:r>
    </w:p>
    <w:p w:rsidR="00FA5379" w:rsidRPr="00B4030D" w:rsidRDefault="006328AD" w:rsidP="00D30EA8">
      <w:pPr>
        <w:spacing w:line="360" w:lineRule="auto"/>
        <w:ind w:left="5245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 xml:space="preserve">Розпорядження  голови </w:t>
      </w:r>
      <w:r w:rsidR="00B4030D" w:rsidRPr="00B4030D">
        <w:rPr>
          <w:rFonts w:ascii="Times New Roman" w:hAnsi="Times New Roman" w:cs="Times New Roman"/>
          <w:b/>
          <w:bCs/>
          <w:lang w:val="uk-UA"/>
        </w:rPr>
        <w:t xml:space="preserve">Київської обласної державної </w:t>
      </w:r>
      <w:r w:rsidRPr="00B4030D">
        <w:rPr>
          <w:rFonts w:ascii="Times New Roman" w:hAnsi="Times New Roman" w:cs="Times New Roman"/>
          <w:b/>
          <w:bCs/>
          <w:lang w:val="uk-UA"/>
        </w:rPr>
        <w:t>адміністрації</w:t>
      </w:r>
    </w:p>
    <w:p w:rsidR="00D30EA8" w:rsidRDefault="005A432C" w:rsidP="005A432C">
      <w:pPr>
        <w:ind w:left="5245"/>
        <w:rPr>
          <w:rFonts w:ascii="Times New Roman" w:eastAsia="Times New Roman" w:hAnsi="Times New Roman" w:cs="Times New Roman"/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lang w:val="uk-UA"/>
        </w:rPr>
        <w:t>07 квітня 2021 року № 199</w:t>
      </w:r>
    </w:p>
    <w:p w:rsidR="006E3BC4" w:rsidRDefault="006E3BC4" w:rsidP="00B4030D">
      <w:pPr>
        <w:ind w:left="4536"/>
        <w:rPr>
          <w:rFonts w:ascii="Times New Roman" w:eastAsia="Times New Roman" w:hAnsi="Times New Roman" w:cs="Times New Roman"/>
          <w:b/>
          <w:bCs/>
          <w:lang w:val="uk-UA"/>
        </w:rPr>
      </w:pPr>
    </w:p>
    <w:p w:rsidR="006E3BC4" w:rsidRDefault="006E3BC4" w:rsidP="00B4030D">
      <w:pPr>
        <w:ind w:left="4536"/>
        <w:rPr>
          <w:rFonts w:ascii="Times New Roman" w:eastAsia="Times New Roman" w:hAnsi="Times New Roman" w:cs="Times New Roman"/>
          <w:b/>
          <w:bCs/>
          <w:lang w:val="uk-UA"/>
        </w:rPr>
      </w:pPr>
    </w:p>
    <w:p w:rsidR="006E3BC4" w:rsidRDefault="006E3BC4" w:rsidP="00B4030D">
      <w:pPr>
        <w:ind w:left="4536"/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Pr="00B4030D" w:rsidRDefault="00D30EA8" w:rsidP="00B4030D">
      <w:pPr>
        <w:ind w:left="4536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ПЕРСОНАЛЬНИЙ СКЛАД</w:t>
      </w: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госпітальної ради при Київській обласній державній адміністрації</w:t>
      </w:r>
    </w:p>
    <w:p w:rsidR="00FA5379" w:rsidRPr="00B4030D" w:rsidRDefault="00FA5379" w:rsidP="00B4030D">
      <w:pPr>
        <w:rPr>
          <w:rFonts w:ascii="Times New Roman" w:eastAsia="Times New Roman" w:hAnsi="Times New Roman" w:cs="Times New Roman"/>
          <w:lang w:val="uk-UA"/>
        </w:rPr>
      </w:pPr>
    </w:p>
    <w:tbl>
      <w:tblPr>
        <w:tblStyle w:val="TableNormal"/>
        <w:tblW w:w="9747" w:type="dxa"/>
        <w:tblInd w:w="10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2"/>
        <w:gridCol w:w="3061"/>
        <w:gridCol w:w="6174"/>
      </w:tblGrid>
      <w:tr w:rsidR="00FA5379" w:rsidRPr="00B4030D" w:rsidTr="009A08BF">
        <w:trPr>
          <w:trHeight w:val="31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>Представники Київської обласної державної адміністрації</w:t>
            </w:r>
          </w:p>
        </w:tc>
      </w:tr>
      <w:tr w:rsidR="009A08BF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Default="009A08BF" w:rsidP="009A08BF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Щербак </w:t>
            </w:r>
          </w:p>
          <w:p w:rsidR="009A08BF" w:rsidRPr="00B4030D" w:rsidRDefault="009A08BF" w:rsidP="009A08BF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Тетяна Василівна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заступник голови Київської обласної державної адміністрації, голова ради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5E2E" w:rsidRDefault="00E45E2E" w:rsidP="00E45E2E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Баннікова </w:t>
            </w:r>
          </w:p>
          <w:p w:rsidR="00FA5379" w:rsidRPr="00B4030D" w:rsidRDefault="00E45E2E" w:rsidP="00E45E2E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Марія Вікторівна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головний спеціаліст – юрисконсульт відділу роботи з персоналом департаменту охорони здоров’я Київської обласної державної адміністрації</w:t>
            </w:r>
          </w:p>
        </w:tc>
      </w:tr>
      <w:tr w:rsidR="00E45E2E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5E2E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5E2E" w:rsidRDefault="00E45E2E" w:rsidP="00E45E2E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Єфіменко </w:t>
            </w:r>
          </w:p>
          <w:p w:rsidR="00E45E2E" w:rsidRPr="00B4030D" w:rsidRDefault="00E45E2E" w:rsidP="00E45E2E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Олена Володимирівн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5E2E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директор департаменту охорони здоров’я Київської обласної державної адміністрації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Яцик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Ігор Михайлович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радник голови Київської обласної державної адміністрації</w:t>
            </w:r>
          </w:p>
        </w:tc>
      </w:tr>
      <w:tr w:rsidR="00FA5379" w:rsidRPr="00B4030D" w:rsidTr="009A08BF">
        <w:trPr>
          <w:trHeight w:val="31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>Представники Київської обласної ради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5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Багнюк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Валентин Віталійович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депутат Київської обласної ради (за згодою)</w:t>
            </w:r>
          </w:p>
        </w:tc>
      </w:tr>
      <w:tr w:rsidR="00FA5379" w:rsidRPr="00B4030D" w:rsidTr="009A08BF">
        <w:trPr>
          <w:trHeight w:val="12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6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Кисельова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Марія Сергіївна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голова постійної комісії Київської обласної ради з питань охорони здоров’я, материнства, дитинства, соціального захисту населення та пенсіонерів (за згодою)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7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Сапожко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Марина Анатоліївна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перший заступник голови Київської обласної ради (за згодою)</w:t>
            </w:r>
          </w:p>
          <w:p w:rsidR="009A08BF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Представники закладів охорони здоров’я, що надають первинну медичну допомогу 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8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Джам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Оксана Іванівна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директор комунального некомерційного підприємства «Бучанський центр первинної медико-санітарної допомоги» Бучанської міської ради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D30EA8" w:rsidRPr="00B4030D" w:rsidTr="009A08BF">
        <w:trPr>
          <w:trHeight w:val="193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EA8" w:rsidRPr="00B4030D" w:rsidRDefault="00D30EA8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0EA8" w:rsidRPr="00B4030D" w:rsidRDefault="00D30EA8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32C" w:rsidRDefault="005A432C" w:rsidP="00D30EA8">
            <w:pPr>
              <w:ind w:left="629"/>
              <w:rPr>
                <w:rFonts w:ascii="Times New Roman" w:hAnsi="Times New Roman" w:cs="Times New Roman"/>
                <w:lang w:val="uk-UA"/>
              </w:rPr>
            </w:pPr>
          </w:p>
          <w:p w:rsidR="00D30EA8" w:rsidRPr="00B4030D" w:rsidRDefault="00D30EA8" w:rsidP="00D30EA8">
            <w:pPr>
              <w:ind w:left="62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9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Фетисенко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Оксана Олегівна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Pr="00B4030D" w:rsidRDefault="006328AD" w:rsidP="009A08BF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директор комунального некомерційного підприємства Обухівської міської ради «Обухівський міський центр первинної медико-санітарної допомоги»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Представники закладів охорони здоров’я, що надають вторинну (спеціалізовану) та/або третинну (високоспеціалізовану) медичну допомогу </w:t>
            </w:r>
          </w:p>
        </w:tc>
      </w:tr>
      <w:tr w:rsidR="00FA5379" w:rsidRPr="00B4030D" w:rsidTr="009A08BF">
        <w:trPr>
          <w:trHeight w:val="12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10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Анкін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Микола Львович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виконуючий обов’язки генерального директора комунального некомерційного підприємства Київської обласної ради «Київська обласна клінічна лікарня»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12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11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Арешкович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Алла Олександрівна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E45E2E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виконуюч</w:t>
            </w:r>
            <w:r w:rsidR="00E45E2E">
              <w:rPr>
                <w:rFonts w:ascii="Times New Roman" w:hAnsi="Times New Roman" w:cs="Times New Roman"/>
                <w:lang w:val="uk-UA"/>
              </w:rPr>
              <w:t>а</w:t>
            </w:r>
            <w:r w:rsidRPr="00B4030D">
              <w:rPr>
                <w:rFonts w:ascii="Times New Roman" w:hAnsi="Times New Roman" w:cs="Times New Roman"/>
                <w:lang w:val="uk-UA"/>
              </w:rPr>
              <w:t xml:space="preserve"> обов’язки генерального директора комунального некомерційного підприємства Київської обласної ради «Київський обласний онкологічний диспансер»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 xml:space="preserve"> (за згодою)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A5379" w:rsidRPr="00424B83" w:rsidTr="009A08BF">
        <w:trPr>
          <w:trHeight w:val="12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12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Загрійчук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Михайло Степанович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завідувач відділення трансплантації органів, хірургії печінки та підшлункової залози комунального некомерційного підприємства Київської обласної ради «Київська обласна клінічна лікарня»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 xml:space="preserve"> (за згодою)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13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Зільберблат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Геннадій Михайлович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генеральний директор комунального некомерційного підприємства Київської обласної ради «Обласне психіатрично-наркологічне медичне об'єднання»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14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Качур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Олександр Юрійович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генеральний директор комунального некомерційного підприємства Київської обласної ради «Київській обласний перинатальний центр»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15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BC4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Кравченко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Василь Віталійович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генеральний директор комунального некомерційного підприємства Київської обласної ради «Київський обласний фтизіатричний центр»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16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Савінова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Катерина Борисівна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генеральний директор комунального некомерційного підприємства Київської обласної ради «Київська обласна дитяча лікарня»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FA5379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  <w:p w:rsidR="009A08BF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  <w:p w:rsidR="009A08BF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08BF" w:rsidRPr="00B4030D" w:rsidTr="009A08BF">
        <w:trPr>
          <w:trHeight w:val="4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32C" w:rsidRDefault="005A432C" w:rsidP="009A08BF">
            <w:pPr>
              <w:tabs>
                <w:tab w:val="left" w:pos="4320"/>
              </w:tabs>
              <w:ind w:firstLine="639"/>
              <w:rPr>
                <w:rFonts w:ascii="Times New Roman" w:hAnsi="Times New Roman" w:cs="Times New Roman"/>
                <w:lang w:val="uk-UA"/>
              </w:rPr>
            </w:pPr>
          </w:p>
          <w:p w:rsidR="005A432C" w:rsidRDefault="005A432C" w:rsidP="009A08BF">
            <w:pPr>
              <w:tabs>
                <w:tab w:val="left" w:pos="4320"/>
              </w:tabs>
              <w:ind w:firstLine="639"/>
              <w:rPr>
                <w:rFonts w:ascii="Times New Roman" w:hAnsi="Times New Roman" w:cs="Times New Roman"/>
                <w:lang w:val="uk-UA"/>
              </w:rPr>
            </w:pPr>
          </w:p>
          <w:p w:rsidR="005A432C" w:rsidRDefault="005A432C" w:rsidP="009A08BF">
            <w:pPr>
              <w:tabs>
                <w:tab w:val="left" w:pos="4320"/>
              </w:tabs>
              <w:ind w:firstLine="639"/>
              <w:rPr>
                <w:rFonts w:ascii="Times New Roman" w:hAnsi="Times New Roman" w:cs="Times New Roman"/>
                <w:lang w:val="uk-UA"/>
              </w:rPr>
            </w:pPr>
          </w:p>
          <w:p w:rsidR="009A08BF" w:rsidRPr="00B4030D" w:rsidRDefault="009A08BF" w:rsidP="009A08BF">
            <w:pPr>
              <w:tabs>
                <w:tab w:val="left" w:pos="4320"/>
              </w:tabs>
              <w:ind w:firstLine="63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FA5379" w:rsidRPr="00B4030D" w:rsidTr="009A08BF">
        <w:trPr>
          <w:trHeight w:val="31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Представники закладів громадського здоров’я </w:t>
            </w:r>
          </w:p>
        </w:tc>
      </w:tr>
      <w:tr w:rsidR="00FA5379" w:rsidRPr="00B4030D" w:rsidTr="009A08BF">
        <w:trPr>
          <w:trHeight w:val="476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17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Голосай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Катерина Сергіївна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6328AD" w:rsidRPr="00B4030D">
              <w:rPr>
                <w:rFonts w:ascii="Times New Roman" w:hAnsi="Times New Roman" w:cs="Times New Roman"/>
                <w:lang w:val="uk-UA"/>
              </w:rPr>
              <w:t>енеральний директор комунального некомерційного підприємства Київської обласної ради «Київський обласний центр громадського здоров’я»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08BF"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Представники закладів охорони здоров’я, що надають екстрену медичну допомогу </w:t>
            </w:r>
          </w:p>
        </w:tc>
      </w:tr>
      <w:tr w:rsidR="00FA5379" w:rsidRPr="00B4030D" w:rsidTr="009A08BF">
        <w:trPr>
          <w:trHeight w:val="127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18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Шарко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Оксана Миколаївна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08BF" w:rsidRDefault="00E45E2E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</w:t>
            </w:r>
            <w:r w:rsidR="006328AD" w:rsidRPr="00B4030D">
              <w:rPr>
                <w:rFonts w:ascii="Times New Roman" w:hAnsi="Times New Roman" w:cs="Times New Roman"/>
                <w:lang w:val="uk-UA"/>
              </w:rPr>
              <w:t>енеральний директор комунального некомерційного підприємства Київської обласної ради «Київський обласний центр екстреної медичної допомоги та медицини катастроф»</w:t>
            </w:r>
            <w:r w:rsidR="009A08B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FA5379" w:rsidRPr="00B4030D" w:rsidRDefault="009A08BF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(за згодою)</w:t>
            </w:r>
          </w:p>
        </w:tc>
      </w:tr>
      <w:tr w:rsidR="00FA5379" w:rsidRPr="00B4030D" w:rsidTr="009A08BF">
        <w:trPr>
          <w:trHeight w:val="31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Представники професійних спілок працівників охорони здоров’я </w:t>
            </w:r>
          </w:p>
        </w:tc>
      </w:tr>
      <w:tr w:rsidR="00FA5379" w:rsidRPr="00424B83" w:rsidTr="009A08BF">
        <w:trPr>
          <w:trHeight w:val="61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19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Початовський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Олексій Іванович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керівник Київської обласної організації профспілки працівників охорони здоров’я України (за згодою)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FA5379" w:rsidP="00B4030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3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b/>
                <w:bCs/>
                <w:lang w:val="uk-UA"/>
              </w:rPr>
              <w:t>Представники громадськості (громадських об’єднань, які представляють інтереси пацієнтів, та/або інших громадських об’єднань)</w:t>
            </w:r>
          </w:p>
        </w:tc>
      </w:tr>
      <w:tr w:rsidR="00FA5379" w:rsidRPr="00B4030D" w:rsidTr="009A08BF">
        <w:trPr>
          <w:trHeight w:val="95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20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Гук </w:t>
            </w:r>
          </w:p>
          <w:p w:rsidR="00FA5379" w:rsidRP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Ірина Юріївна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координатор з питань медицини та соціального захисту громадської спілки «Федерація громадських організацій учасників АТО Київщини» (за згодою)</w:t>
            </w:r>
          </w:p>
        </w:tc>
      </w:tr>
      <w:tr w:rsidR="00FA5379" w:rsidRPr="00B4030D" w:rsidTr="009A08BF">
        <w:trPr>
          <w:trHeight w:val="638"/>
        </w:trPr>
        <w:tc>
          <w:tcPr>
            <w:tcW w:w="51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21</w:t>
            </w:r>
            <w:r w:rsidR="006E3B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06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 xml:space="preserve">Кулеша </w:t>
            </w:r>
          </w:p>
          <w:p w:rsidR="00FA5379" w:rsidRPr="00B4030D" w:rsidRDefault="006328AD" w:rsidP="00B4030D">
            <w:pPr>
              <w:tabs>
                <w:tab w:val="left" w:pos="4320"/>
              </w:tabs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Тетяна Григорівна</w:t>
            </w:r>
          </w:p>
        </w:tc>
        <w:tc>
          <w:tcPr>
            <w:tcW w:w="61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5379" w:rsidRPr="00B4030D" w:rsidRDefault="006328AD" w:rsidP="006E3BC4">
            <w:pPr>
              <w:rPr>
                <w:rFonts w:ascii="Times New Roman" w:hAnsi="Times New Roman" w:cs="Times New Roman"/>
                <w:lang w:val="uk-UA"/>
              </w:rPr>
            </w:pPr>
            <w:r w:rsidRPr="00B4030D">
              <w:rPr>
                <w:rFonts w:ascii="Times New Roman" w:hAnsi="Times New Roman" w:cs="Times New Roman"/>
                <w:lang w:val="uk-UA"/>
              </w:rPr>
              <w:t>голова громадської спілки «Орфанні захворюван</w:t>
            </w:r>
            <w:r w:rsidR="006E3BC4">
              <w:rPr>
                <w:rFonts w:ascii="Times New Roman" w:hAnsi="Times New Roman" w:cs="Times New Roman"/>
                <w:lang w:val="uk-UA"/>
              </w:rPr>
              <w:t>-</w:t>
            </w:r>
            <w:r w:rsidRPr="00B4030D">
              <w:rPr>
                <w:rFonts w:ascii="Times New Roman" w:hAnsi="Times New Roman" w:cs="Times New Roman"/>
                <w:lang w:val="uk-UA"/>
              </w:rPr>
              <w:t>ня України» (за згодою)</w:t>
            </w:r>
          </w:p>
        </w:tc>
      </w:tr>
    </w:tbl>
    <w:p w:rsidR="00FA5379" w:rsidRPr="006E3BC4" w:rsidRDefault="00FA5379" w:rsidP="00B4030D">
      <w:pPr>
        <w:widowControl w:val="0"/>
        <w:rPr>
          <w:rFonts w:ascii="Times New Roman" w:eastAsia="Times New Roman" w:hAnsi="Times New Roman" w:cs="Times New Roman"/>
        </w:rPr>
      </w:pPr>
    </w:p>
    <w:p w:rsidR="00FA5379" w:rsidRPr="00B4030D" w:rsidRDefault="00FA5379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 xml:space="preserve">Директор </w:t>
      </w:r>
      <w:r w:rsidR="00B4030D" w:rsidRPr="00B4030D">
        <w:rPr>
          <w:rFonts w:ascii="Times New Roman" w:hAnsi="Times New Roman" w:cs="Times New Roman"/>
          <w:b/>
          <w:bCs/>
          <w:lang w:val="uk-UA"/>
        </w:rPr>
        <w:t>д</w:t>
      </w:r>
      <w:r w:rsidRPr="00B4030D">
        <w:rPr>
          <w:rFonts w:ascii="Times New Roman" w:hAnsi="Times New Roman" w:cs="Times New Roman"/>
          <w:b/>
          <w:bCs/>
          <w:lang w:val="uk-UA"/>
        </w:rPr>
        <w:t>епартаменту</w:t>
      </w:r>
    </w:p>
    <w:p w:rsidR="00FA5379" w:rsidRPr="00B4030D" w:rsidRDefault="006328AD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охорони здоров’я</w:t>
      </w:r>
      <w:r w:rsidR="00B4030D" w:rsidRPr="00B4030D">
        <w:rPr>
          <w:rFonts w:ascii="Times New Roman" w:hAnsi="Times New Roman" w:cs="Times New Roman"/>
          <w:b/>
          <w:bCs/>
          <w:lang w:val="uk-UA"/>
        </w:rPr>
        <w:t xml:space="preserve"> адміністрації</w:t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  <w:t>Олена ЄФІМЕНКО</w:t>
      </w:r>
    </w:p>
    <w:p w:rsidR="00FA5379" w:rsidRPr="00B4030D" w:rsidRDefault="00FA5379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Default="00FA5379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5A432C" w:rsidRDefault="005A432C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5A432C" w:rsidRDefault="005A432C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5A432C" w:rsidRDefault="005A432C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5A432C" w:rsidRDefault="005A432C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D30EA8" w:rsidRDefault="00D30EA8" w:rsidP="00D30EA8">
      <w:pPr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D30EA8">
      <w:pPr>
        <w:spacing w:line="360" w:lineRule="auto"/>
        <w:ind w:left="5528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ЗАТВЕРДЖЕНО</w:t>
      </w:r>
    </w:p>
    <w:p w:rsidR="00FA5379" w:rsidRPr="00B4030D" w:rsidRDefault="006328AD" w:rsidP="00D30EA8">
      <w:pPr>
        <w:spacing w:line="360" w:lineRule="auto"/>
        <w:ind w:left="5528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 xml:space="preserve">Розпорядження  голови </w:t>
      </w:r>
      <w:r w:rsidR="00B4030D" w:rsidRPr="00B4030D">
        <w:rPr>
          <w:rFonts w:ascii="Times New Roman" w:hAnsi="Times New Roman" w:cs="Times New Roman"/>
          <w:b/>
          <w:bCs/>
          <w:lang w:val="uk-UA"/>
        </w:rPr>
        <w:t xml:space="preserve">Київської обласної державної </w:t>
      </w:r>
      <w:r w:rsidRPr="00B4030D">
        <w:rPr>
          <w:rFonts w:ascii="Times New Roman" w:hAnsi="Times New Roman" w:cs="Times New Roman"/>
          <w:b/>
          <w:bCs/>
          <w:lang w:val="uk-UA"/>
        </w:rPr>
        <w:t>адміністрації</w:t>
      </w:r>
    </w:p>
    <w:p w:rsidR="00FA5379" w:rsidRPr="00B4030D" w:rsidRDefault="005A432C" w:rsidP="00B4030D">
      <w:pPr>
        <w:ind w:left="4821" w:firstLine="708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lang w:val="uk-UA"/>
        </w:rPr>
        <w:t>07 квітня 2021 року № 199</w:t>
      </w:r>
    </w:p>
    <w:p w:rsidR="00FA5379" w:rsidRPr="00B4030D" w:rsidRDefault="00FA5379" w:rsidP="00B4030D">
      <w:pPr>
        <w:ind w:left="4536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 xml:space="preserve">ПОЛОЖЕННЯ </w:t>
      </w: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про госпітальну раду при Київській обласній державній адміністрації</w:t>
      </w: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I. Загальні положення</w:t>
      </w:r>
    </w:p>
    <w:p w:rsidR="00FA5379" w:rsidRPr="00B4030D" w:rsidRDefault="00FA5379" w:rsidP="00B4030D">
      <w:pPr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1. Госпітальна рада утвор</w:t>
      </w:r>
      <w:r w:rsidR="009A08BF">
        <w:rPr>
          <w:rFonts w:ascii="Times New Roman" w:hAnsi="Times New Roman" w:cs="Times New Roman"/>
          <w:lang w:val="uk-UA"/>
        </w:rPr>
        <w:t>ена</w:t>
      </w:r>
      <w:r w:rsidRPr="00B4030D">
        <w:rPr>
          <w:rFonts w:ascii="Times New Roman" w:hAnsi="Times New Roman" w:cs="Times New Roman"/>
          <w:lang w:val="uk-UA"/>
        </w:rPr>
        <w:t xml:space="preserve"> головою Київської обласної державної адміністрації як консультативно-дорадчий орган при Київській обласній державній адміністрації для розроблення пропозицій та рекомендацій щодо реалізації на рівні госпітального округу державної політики у сфері охорони здоров'я та організації надання медичної допомоги в госпітальному окрузі.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2. Персональний склад госпітальної ради затверджуються головою Київської обласної державної адміністрації.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II. Основні принципи діяльності та завдання госпітальної ради</w:t>
      </w:r>
    </w:p>
    <w:p w:rsidR="00FA5379" w:rsidRPr="00B4030D" w:rsidRDefault="00FA5379" w:rsidP="00B4030D">
      <w:pPr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1. Основними принципами діяльності госпітальної ради є: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колегіальність та відкритість у прийнятті рішень;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прозорість діяльності;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рівноправність її членів.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2. До завдань госпітальної ради належить розроблення пропозицій та рекомендацій щодо: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визначення спроможної мережі госпітального округу;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плану розвитку госпітального округу;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реорганізації і перепрофілювання закладів охорони здоров'я, що забезпечують надання вторинної (спеціалізованої) та госпітального етапу екстреної медичної допомоги в межах госпітального округу;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переліку опорних закладів охорони здоров'я у госпітальному окрузі;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інших питань, які належать до компетенції суб'єктів госпітального округу щодо забезпечення надання в ньому медичної допомоги.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Default="006328AD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3. Госпітальна рада затверджує окремим рішенням та проводить щороку аналіз виконання плану розвитку госпітального округу та звітує про це голові Київської обласної державної адміністрації.</w:t>
      </w:r>
    </w:p>
    <w:p w:rsidR="005A432C" w:rsidRDefault="005A432C" w:rsidP="006E3BC4">
      <w:pPr>
        <w:jc w:val="center"/>
        <w:rPr>
          <w:rFonts w:ascii="Times New Roman" w:hAnsi="Times New Roman" w:cs="Times New Roman"/>
          <w:lang w:val="uk-UA"/>
        </w:rPr>
      </w:pPr>
    </w:p>
    <w:p w:rsidR="006E3BC4" w:rsidRPr="00B4030D" w:rsidRDefault="006E3BC4" w:rsidP="006E3BC4">
      <w:pPr>
        <w:jc w:val="center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4. За результатами аналізу виконання плану розвитку госпітального округу госпітальна рада вносить до нього зміни. Внесення змін до очікуваних показників результативності допускається не частіше ніж один раз на три роки.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5. З метою аналітичної та технічної підтримки розроблення пропозицій, рекомендацій госпітальна рада може залучати до своєї діяльності відповідних фахівців, науковців та представників громадськості. Залучення таких фахівців здійснюється безоплатно на громадських засадах.</w:t>
      </w:r>
    </w:p>
    <w:p w:rsidR="00FA5379" w:rsidRPr="00B4030D" w:rsidRDefault="00FA5379" w:rsidP="00B4030D">
      <w:pPr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III. Організація діяльності госпітальної ради</w:t>
      </w:r>
    </w:p>
    <w:p w:rsidR="00FA5379" w:rsidRPr="00B4030D" w:rsidRDefault="00FA5379" w:rsidP="00B4030D">
      <w:pPr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1. Госпітальну раду очолює голова, який за посадою є заступником голови Київської обласної державної адміністрації, до функціональних обов'язків якого належить сфера охорони здоров'я.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 поданням голови госпітальної ради з числа її членів обираються один або два заступники голови та секретар госпітальної ради.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2. Організаційна діяльність госпітальної ради забезпечується її головою.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 xml:space="preserve">3. Формою роботи госпітальної ради є засідання, що проводиться не рідше ніж один раз на квартал відповідно до графіка, затвердженого госпітальною радою. Позачергове засідання може бути проведене за ініціативою третини членів госпітальної ради, голови госпітальної ради або </w:t>
      </w:r>
      <w:r w:rsidR="00E45E2E">
        <w:rPr>
          <w:rFonts w:ascii="Times New Roman" w:hAnsi="Times New Roman" w:cs="Times New Roman"/>
          <w:lang w:val="uk-UA"/>
        </w:rPr>
        <w:t>д</w:t>
      </w:r>
      <w:r w:rsidRPr="00B4030D">
        <w:rPr>
          <w:rFonts w:ascii="Times New Roman" w:hAnsi="Times New Roman" w:cs="Times New Roman"/>
          <w:lang w:val="uk-UA"/>
        </w:rPr>
        <w:t>епартаменту охорони здоров’я Київської обласної державної адміністрації.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У засіданнях можуть брати участь з правом дорадчого голосу представники Міністерства охорони здоров’я України, Національної служби здоров’я України, державної установи «Центр громадського здоров'я Міністерства охорони здоров’я України».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Госпітальна рада на своїх засіданнях ухвалює пропозиції та рекомендації.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 питань організації своєї діяльності, що не врегульовані цим Положенням, госпітальна рада приймає окреме рішення.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Госпітальна рада може запрошувати на засідання експертів, представників державних органів, органів місцевого самоврядування, закладів охорони здоров'я госпітального округу з метою висловлення думки з поставлених питань.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 xml:space="preserve">Засідання госпітальної ради веде її голова, а за його відсутності </w:t>
      </w:r>
      <w:r w:rsidR="00E45E2E">
        <w:rPr>
          <w:rFonts w:ascii="Times New Roman" w:hAnsi="Times New Roman" w:cs="Times New Roman"/>
          <w:lang w:val="uk-UA"/>
        </w:rPr>
        <w:t>–</w:t>
      </w:r>
      <w:r w:rsidRPr="00B4030D">
        <w:rPr>
          <w:rFonts w:ascii="Times New Roman" w:hAnsi="Times New Roman" w:cs="Times New Roman"/>
          <w:lang w:val="uk-UA"/>
        </w:rPr>
        <w:t xml:space="preserve"> заступник</w:t>
      </w:r>
      <w:r w:rsidR="00E45E2E">
        <w:rPr>
          <w:rFonts w:ascii="Times New Roman" w:hAnsi="Times New Roman" w:cs="Times New Roman"/>
          <w:lang w:val="uk-UA"/>
        </w:rPr>
        <w:t xml:space="preserve"> </w:t>
      </w:r>
      <w:r w:rsidRPr="00B4030D">
        <w:rPr>
          <w:rFonts w:ascii="Times New Roman" w:hAnsi="Times New Roman" w:cs="Times New Roman"/>
          <w:lang w:val="uk-UA"/>
        </w:rPr>
        <w:t xml:space="preserve">або інший призначений ним (нею) член госпітальної ради. Протокол засідання підписує голова, а за його відсутності </w:t>
      </w:r>
      <w:r w:rsidR="00E45E2E">
        <w:rPr>
          <w:rFonts w:ascii="Times New Roman" w:hAnsi="Times New Roman" w:cs="Times New Roman"/>
          <w:lang w:val="uk-UA"/>
        </w:rPr>
        <w:t>–</w:t>
      </w:r>
      <w:r w:rsidRPr="00B4030D">
        <w:rPr>
          <w:rFonts w:ascii="Times New Roman" w:hAnsi="Times New Roman" w:cs="Times New Roman"/>
          <w:lang w:val="uk-UA"/>
        </w:rPr>
        <w:t xml:space="preserve"> заступник</w:t>
      </w:r>
      <w:r w:rsidR="00E45E2E">
        <w:rPr>
          <w:rFonts w:ascii="Times New Roman" w:hAnsi="Times New Roman" w:cs="Times New Roman"/>
          <w:lang w:val="uk-UA"/>
        </w:rPr>
        <w:t xml:space="preserve"> </w:t>
      </w:r>
      <w:r w:rsidRPr="00B4030D">
        <w:rPr>
          <w:rFonts w:ascii="Times New Roman" w:hAnsi="Times New Roman" w:cs="Times New Roman"/>
          <w:lang w:val="uk-UA"/>
        </w:rPr>
        <w:t>або інший призначений ним (нею) член госпітальної ради.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Засідання госпітальної ради вважається правоможним, якщо на ньому присутні більше половини складу госпітальної ради.</w:t>
      </w:r>
    </w:p>
    <w:p w:rsidR="00FA5379" w:rsidRDefault="006328AD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Перше засідання госпітальної ради проводиться не пізніше ніж протягом двох тижнів з моменту затвердження персонального складу госпітальної ради.</w:t>
      </w:r>
    </w:p>
    <w:p w:rsidR="006E3BC4" w:rsidRDefault="006E3BC4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5A432C" w:rsidRDefault="005A432C" w:rsidP="006E3BC4">
      <w:pPr>
        <w:jc w:val="center"/>
        <w:rPr>
          <w:rFonts w:ascii="Times New Roman" w:hAnsi="Times New Roman" w:cs="Times New Roman"/>
          <w:lang w:val="uk-UA"/>
        </w:rPr>
      </w:pPr>
    </w:p>
    <w:p w:rsidR="005A432C" w:rsidRDefault="005A432C" w:rsidP="006E3BC4">
      <w:pPr>
        <w:jc w:val="center"/>
        <w:rPr>
          <w:rFonts w:ascii="Times New Roman" w:hAnsi="Times New Roman" w:cs="Times New Roman"/>
          <w:lang w:val="uk-UA"/>
        </w:rPr>
      </w:pPr>
    </w:p>
    <w:p w:rsidR="006E3BC4" w:rsidRDefault="006E3BC4" w:rsidP="006E3BC4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</w:p>
    <w:p w:rsidR="006E3BC4" w:rsidRPr="00B4030D" w:rsidRDefault="006E3BC4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Засідання госпітальної ради проводяться у відкритому або закритому режимі. Рішення про проведення засідання у закритому режимі приймається не менш як двома третинами від кількості членів госпітальної ради.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4. Пропозиції, рекомендації та організаційні рішення госпітальної ради вважаються схваленими, якщо за них проголосувало більше половини присутніх на її засіданні членів госпітальної ради. У разі рівного розподілу голосів вирішальним є голос головуючого на засіданні.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Член госпітальної ради, який не підтримує пропозиції, рекомендації та організаційні рішення, може викласти у письмовій формі свою окрему думку, що додається до протоколу засідання.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Пропозиції, рекомендації та організаційні рішення фіксуються у протоколі засідання, який підписується головуючим та секретарем госпітальної ради не пізніше ніж протягом трьох робочих днів після проведення засідання госпітальної ради.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У протоколі повинно бути зазначено: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дата, місце та час проведення засідання;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прізвище, ім'я та по батькові присутніх;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порядок денний і результати обговорення питань порядку денного;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питання, винесені на голосування, і підсумки голосування із зазначених питань;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пропозиції, рекомендації та організаційні рішення, ухвалені госпітальною радою.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5. Члени госпітальної ради у своїй діяльності вживають заходів для запобігання та врегулювання конфлікту інтересів відповідно до вимог Закону України «Про запобігання корупції».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6. Повноваження членів госпітальної ради закінчуються за власною ініціативою члена госпітальної ради чи його відкликанням органом, який його делегував.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7. Організаційне, інформаційне, матеріально-технічне забезпечення діяльності госпітальної ради здійснює Київська обласна державна адміністрація.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IV. Функції та права госпітальної ради</w:t>
      </w:r>
    </w:p>
    <w:p w:rsidR="00FA5379" w:rsidRPr="00B4030D" w:rsidRDefault="00FA5379" w:rsidP="00B4030D">
      <w:pPr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1. Голова госпітальної ради: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організовує діяльність госпітальної ради;</w:t>
      </w:r>
    </w:p>
    <w:p w:rsidR="00FA5379" w:rsidRDefault="006328AD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визначає функціональні обов'язки заступників голови, секретаря і членів госпітальної ради;</w:t>
      </w:r>
    </w:p>
    <w:p w:rsidR="006E3BC4" w:rsidRDefault="006E3BC4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6E3BC4" w:rsidRDefault="006E3BC4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5A432C" w:rsidRDefault="005A432C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5A432C" w:rsidRDefault="005A432C" w:rsidP="00D30EA8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6E3BC4" w:rsidRDefault="006E3BC4" w:rsidP="006E3BC4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</w:p>
    <w:p w:rsidR="006E3BC4" w:rsidRPr="00B4030D" w:rsidRDefault="006E3BC4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скликає і веде засідання госпітальної ради, виносить на розгляд госпітальної ради пропозиції щодо порядку денного засідання, підписує протокол засідання госпітальної ради (у разі його присутності на засіданні);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підписує листи та інші документи госпітальної ради;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представляє госпітальну раду у взаємовідносинах з державними органами, органами місцевого самоврядування, підприємствами, установами, організаціями;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здійснює інші функції, необхідні для організації діяльності госпітальної ради.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2. Секретар госпітальної ради: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готує проект плану роботи та графік засідань госпітальної ради з урахуванням пропозицій її членів;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забезпечує подання членам госпітальної ради не пізніше ніж за п'ять робочих днів до планового засідання відповідні інформаційні матеріали;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забезпечує підготовку проектів документів до її засідань;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веде і зберігає протоколи засідань госпітальної ради та іншу документацію у порядку, визначеному госпітальною радою;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веде облік присутності членів госпітальної ради на її засіданнях;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забезпечує інформування громадськості про діяльність госпітальної ради;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здійснює інші повноваження і виконує доручення голови госпітальної ради, пов'язані з організацією її діяльності.</w:t>
      </w:r>
    </w:p>
    <w:p w:rsidR="00FA5379" w:rsidRPr="00B4030D" w:rsidRDefault="00FA5379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3. Члени госпітальної ради мають право: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брати участь у засіданнях госпітальної ради;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B4030D">
        <w:rPr>
          <w:rFonts w:ascii="Times New Roman" w:hAnsi="Times New Roman" w:cs="Times New Roman"/>
          <w:lang w:val="uk-UA"/>
        </w:rPr>
        <w:t>ініціювати розгляд питань на чергових та позачергових засіданнях госпітальної ради шляхом внесення їх до порядку денного;</w:t>
      </w:r>
    </w:p>
    <w:p w:rsidR="00FA5379" w:rsidRPr="00B4030D" w:rsidRDefault="006328AD" w:rsidP="00D30EA8">
      <w:pPr>
        <w:ind w:firstLine="567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lang w:val="uk-UA"/>
        </w:rPr>
        <w:t>брати участь у розгляді питань госпітальною радою та подавати пропозиції до проектів рішень госпітальної ради.</w:t>
      </w:r>
    </w:p>
    <w:p w:rsidR="00FA5379" w:rsidRPr="00B4030D" w:rsidRDefault="00FA5379" w:rsidP="00D30EA8">
      <w:pPr>
        <w:ind w:firstLine="567"/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6328AD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 xml:space="preserve">Директор </w:t>
      </w:r>
      <w:r w:rsidR="006F42B7" w:rsidRPr="00B4030D">
        <w:rPr>
          <w:rFonts w:ascii="Times New Roman" w:hAnsi="Times New Roman" w:cs="Times New Roman"/>
          <w:b/>
          <w:bCs/>
          <w:lang w:val="uk-UA"/>
        </w:rPr>
        <w:t>д</w:t>
      </w:r>
      <w:r w:rsidRPr="00B4030D">
        <w:rPr>
          <w:rFonts w:ascii="Times New Roman" w:hAnsi="Times New Roman" w:cs="Times New Roman"/>
          <w:b/>
          <w:bCs/>
          <w:lang w:val="uk-UA"/>
        </w:rPr>
        <w:t>епартаменту</w:t>
      </w:r>
    </w:p>
    <w:p w:rsidR="00FA5379" w:rsidRPr="00B4030D" w:rsidRDefault="006328AD" w:rsidP="00B4030D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lang w:val="uk-UA"/>
        </w:rPr>
      </w:pPr>
      <w:r w:rsidRPr="00B4030D">
        <w:rPr>
          <w:rFonts w:ascii="Times New Roman" w:hAnsi="Times New Roman" w:cs="Times New Roman"/>
          <w:b/>
          <w:bCs/>
          <w:lang w:val="uk-UA"/>
        </w:rPr>
        <w:t>охорони здоров’я</w:t>
      </w:r>
      <w:r w:rsidR="00D30EA8">
        <w:rPr>
          <w:rFonts w:ascii="Times New Roman" w:hAnsi="Times New Roman" w:cs="Times New Roman"/>
          <w:b/>
          <w:bCs/>
          <w:lang w:val="uk-UA"/>
        </w:rPr>
        <w:t xml:space="preserve"> адміністрації</w:t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</w:r>
      <w:r w:rsidRPr="00B4030D">
        <w:rPr>
          <w:rFonts w:ascii="Times New Roman" w:hAnsi="Times New Roman" w:cs="Times New Roman"/>
          <w:b/>
          <w:bCs/>
          <w:lang w:val="uk-UA"/>
        </w:rPr>
        <w:tab/>
        <w:t>Олена ЄФІМЕНКО</w:t>
      </w: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p w:rsidR="00FA5379" w:rsidRPr="00B4030D" w:rsidRDefault="00FA5379" w:rsidP="00B4030D">
      <w:pPr>
        <w:jc w:val="center"/>
        <w:rPr>
          <w:rFonts w:ascii="Times New Roman" w:eastAsia="Times New Roman" w:hAnsi="Times New Roman" w:cs="Times New Roman"/>
          <w:b/>
          <w:bCs/>
          <w:lang w:val="uk-UA"/>
        </w:rPr>
      </w:pPr>
    </w:p>
    <w:sectPr w:rsidR="00FA5379" w:rsidRPr="00B4030D" w:rsidSect="005A432C">
      <w:pgSz w:w="11900" w:h="16840"/>
      <w:pgMar w:top="28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CE5" w:rsidRDefault="006328AD">
      <w:r>
        <w:separator/>
      </w:r>
    </w:p>
  </w:endnote>
  <w:endnote w:type="continuationSeparator" w:id="0">
    <w:p w:rsidR="00B53CE5" w:rsidRDefault="00632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CE5" w:rsidRDefault="006328AD">
      <w:r>
        <w:separator/>
      </w:r>
    </w:p>
  </w:footnote>
  <w:footnote w:type="continuationSeparator" w:id="0">
    <w:p w:rsidR="00B53CE5" w:rsidRDefault="00632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79"/>
    <w:rsid w:val="00424B83"/>
    <w:rsid w:val="005A432C"/>
    <w:rsid w:val="006328AD"/>
    <w:rsid w:val="006E3BC4"/>
    <w:rsid w:val="006F42B7"/>
    <w:rsid w:val="009A08BF"/>
    <w:rsid w:val="00B4030D"/>
    <w:rsid w:val="00B53CE5"/>
    <w:rsid w:val="00D30EA8"/>
    <w:rsid w:val="00E45E2E"/>
    <w:rsid w:val="00FA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65623-1138-44D4-B5DA-D4FA78A4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Antiqua" w:eastAsia="Antiqua" w:hAnsi="Antiqua" w:cs="Antiqua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alloon Text"/>
    <w:basedOn w:val="a"/>
    <w:link w:val="a6"/>
    <w:uiPriority w:val="99"/>
    <w:semiHidden/>
    <w:unhideWhenUsed/>
    <w:rsid w:val="006E3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BC4"/>
    <w:rPr>
      <w:rFonts w:ascii="Segoe UI" w:eastAsia="Antiqua" w:hAnsi="Segoe UI" w:cs="Segoe UI"/>
      <w:color w:val="000000"/>
      <w:sz w:val="18"/>
      <w:szCs w:val="18"/>
      <w:u w:color="000000"/>
    </w:rPr>
  </w:style>
  <w:style w:type="paragraph" w:styleId="a7">
    <w:name w:val="header"/>
    <w:basedOn w:val="a"/>
    <w:link w:val="a8"/>
    <w:uiPriority w:val="99"/>
    <w:unhideWhenUsed/>
    <w:rsid w:val="005A4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432C"/>
    <w:rPr>
      <w:rFonts w:ascii="Antiqua" w:eastAsia="Antiqua" w:hAnsi="Antiqua" w:cs="Antiqua"/>
      <w:color w:val="000000"/>
      <w:sz w:val="28"/>
      <w:szCs w:val="28"/>
      <w:u w:color="000000"/>
    </w:rPr>
  </w:style>
  <w:style w:type="paragraph" w:styleId="a9">
    <w:name w:val="footer"/>
    <w:basedOn w:val="a"/>
    <w:link w:val="aa"/>
    <w:uiPriority w:val="99"/>
    <w:unhideWhenUsed/>
    <w:rsid w:val="005A4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432C"/>
    <w:rPr>
      <w:rFonts w:ascii="Antiqua" w:eastAsia="Antiqua" w:hAnsi="Antiqua" w:cs="Antiqua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2021-04-08T06:49:00Z</cp:lastPrinted>
  <dcterms:created xsi:type="dcterms:W3CDTF">2021-04-08T06:37:00Z</dcterms:created>
  <dcterms:modified xsi:type="dcterms:W3CDTF">2021-04-08T06:51:00Z</dcterms:modified>
</cp:coreProperties>
</file>